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D7" w:rsidRDefault="003136D7" w:rsidP="003136D7">
      <w:pPr>
        <w:jc w:val="center"/>
        <w:rPr>
          <w:lang w:val="es-ES"/>
        </w:rPr>
      </w:pPr>
      <w:bookmarkStart w:id="0" w:name="_GoBack"/>
      <w:bookmarkEnd w:id="0"/>
      <w:r>
        <w:rPr>
          <w:noProof/>
          <w:lang w:val="es-ES"/>
        </w:rPr>
        <w:drawing>
          <wp:inline distT="0" distB="0" distL="0" distR="0">
            <wp:extent cx="2412582" cy="733425"/>
            <wp:effectExtent l="19050" t="0" r="6768" b="0"/>
            <wp:docPr id="1" name="0 Imagen" descr="af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l.jpg"/>
                    <pic:cNvPicPr/>
                  </pic:nvPicPr>
                  <pic:blipFill>
                    <a:blip r:embed="rId11" cstate="print"/>
                    <a:stretch>
                      <a:fillRect/>
                    </a:stretch>
                  </pic:blipFill>
                  <pic:spPr>
                    <a:xfrm>
                      <a:off x="0" y="0"/>
                      <a:ext cx="2412582" cy="733425"/>
                    </a:xfrm>
                    <a:prstGeom prst="rect">
                      <a:avLst/>
                    </a:prstGeom>
                  </pic:spPr>
                </pic:pic>
              </a:graphicData>
            </a:graphic>
          </wp:inline>
        </w:drawing>
      </w:r>
    </w:p>
    <w:p w:rsidR="003136D7" w:rsidRDefault="003136D7" w:rsidP="003136D7">
      <w:pPr>
        <w:jc w:val="center"/>
        <w:rPr>
          <w:lang w:val="es-ES"/>
        </w:rPr>
      </w:pPr>
    </w:p>
    <w:p w:rsidR="003136D7" w:rsidRDefault="003136D7" w:rsidP="003136D7">
      <w:pPr>
        <w:jc w:val="center"/>
        <w:rPr>
          <w:lang w:val="es-ES"/>
        </w:rPr>
      </w:pPr>
    </w:p>
    <w:p w:rsidR="003136D7" w:rsidRDefault="003136D7" w:rsidP="003136D7">
      <w:pPr>
        <w:jc w:val="center"/>
        <w:rPr>
          <w:lang w:val="es-ES"/>
        </w:rPr>
      </w:pPr>
    </w:p>
    <w:p w:rsidR="003136D7" w:rsidRPr="003136D7" w:rsidRDefault="003136D7" w:rsidP="003136D7">
      <w:pPr>
        <w:jc w:val="center"/>
        <w:rPr>
          <w:rFonts w:ascii="Broadway" w:hAnsi="Broadway"/>
          <w:sz w:val="144"/>
          <w:lang w:val="es-ES"/>
        </w:rPr>
      </w:pPr>
      <w:r w:rsidRPr="003136D7">
        <w:rPr>
          <w:rFonts w:ascii="Broadway" w:hAnsi="Broadway"/>
          <w:sz w:val="144"/>
          <w:lang w:val="es-ES"/>
        </w:rPr>
        <w:t xml:space="preserve">ANÁLISIS DE DIRECTIVAS </w:t>
      </w:r>
      <w:r w:rsidRPr="003136D7">
        <w:rPr>
          <w:rFonts w:ascii="Broadway" w:hAnsi="Broadway"/>
          <w:sz w:val="144"/>
          <w:lang w:val="es-ES"/>
        </w:rPr>
        <w:lastRenderedPageBreak/>
        <w:t>EUROPEAS</w:t>
      </w:r>
    </w:p>
    <w:p w:rsidR="003136D7" w:rsidRDefault="003136D7" w:rsidP="003136D7">
      <w:pPr>
        <w:rPr>
          <w:lang w:val="es-ES"/>
        </w:rPr>
      </w:pPr>
    </w:p>
    <w:p w:rsidR="00071A9E" w:rsidRPr="00071A9E" w:rsidRDefault="00BF6678" w:rsidP="00071A9E">
      <w:pPr>
        <w:jc w:val="center"/>
        <w:rPr>
          <w:b/>
          <w:i/>
          <w:color w:val="7F7F7F" w:themeColor="text1" w:themeTint="80"/>
          <w:sz w:val="32"/>
          <w:lang w:val="es-ES"/>
        </w:rPr>
      </w:pPr>
      <w:r>
        <w:rPr>
          <w:b/>
          <w:i/>
          <w:color w:val="7F7F7F" w:themeColor="text1" w:themeTint="80"/>
          <w:sz w:val="32"/>
          <w:lang w:val="es-ES"/>
        </w:rPr>
        <w:t>NOVIEMBRE</w:t>
      </w:r>
      <w:r w:rsidR="006356D6">
        <w:rPr>
          <w:b/>
          <w:i/>
          <w:color w:val="7F7F7F" w:themeColor="text1" w:themeTint="80"/>
          <w:sz w:val="32"/>
          <w:lang w:val="es-ES"/>
        </w:rPr>
        <w:t xml:space="preserve"> DE 2014</w:t>
      </w:r>
    </w:p>
    <w:p w:rsidR="003136D7" w:rsidRDefault="003136D7" w:rsidP="003136D7">
      <w:pPr>
        <w:rPr>
          <w:lang w:val="es-ES"/>
        </w:rPr>
      </w:pPr>
    </w:p>
    <w:p w:rsidR="003136D7" w:rsidRDefault="003136D7" w:rsidP="003136D7">
      <w:pPr>
        <w:rPr>
          <w:lang w:val="es-ES"/>
        </w:rPr>
      </w:pPr>
    </w:p>
    <w:tbl>
      <w:tblPr>
        <w:tblStyle w:val="Tablaconcuadrcula"/>
        <w:tblW w:w="0" w:type="auto"/>
        <w:tblLook w:val="04A0" w:firstRow="1" w:lastRow="0" w:firstColumn="1" w:lastColumn="0" w:noHBand="0" w:noVBand="1"/>
      </w:tblPr>
      <w:tblGrid>
        <w:gridCol w:w="9779"/>
      </w:tblGrid>
      <w:tr w:rsidR="003136D7" w:rsidRPr="00A4037C" w:rsidTr="003136D7">
        <w:tc>
          <w:tcPr>
            <w:tcW w:w="9779" w:type="dxa"/>
            <w:shd w:val="clear" w:color="auto" w:fill="0070C0"/>
          </w:tcPr>
          <w:p w:rsidR="003136D7" w:rsidRPr="003136D7" w:rsidRDefault="003136D7" w:rsidP="003136D7">
            <w:pPr>
              <w:rPr>
                <w:color w:val="FFFF00"/>
                <w:lang w:val="es-ES"/>
              </w:rPr>
            </w:pPr>
          </w:p>
          <w:p w:rsidR="003136D7" w:rsidRPr="003136D7" w:rsidRDefault="003136D7" w:rsidP="00411495">
            <w:pPr>
              <w:pStyle w:val="Prrafodelista"/>
              <w:numPr>
                <w:ilvl w:val="0"/>
                <w:numId w:val="13"/>
              </w:numPr>
              <w:rPr>
                <w:color w:val="FFFF00"/>
                <w:lang w:val="es-ES"/>
              </w:rPr>
            </w:pPr>
            <w:r w:rsidRPr="003136D7">
              <w:rPr>
                <w:color w:val="FFFF00"/>
                <w:lang w:val="es-ES"/>
              </w:rPr>
              <w:t>El presente documento refleja el análisis llevado a cabo por los miembros del grupo de trabajo sobre directivas europeas de AFBEL</w:t>
            </w:r>
          </w:p>
          <w:p w:rsidR="003136D7" w:rsidRPr="003136D7" w:rsidRDefault="003136D7" w:rsidP="00411495">
            <w:pPr>
              <w:pStyle w:val="Prrafodelista"/>
              <w:numPr>
                <w:ilvl w:val="0"/>
                <w:numId w:val="13"/>
              </w:numPr>
              <w:rPr>
                <w:color w:val="FFFF00"/>
                <w:lang w:val="es-ES"/>
              </w:rPr>
            </w:pPr>
            <w:r w:rsidRPr="003136D7">
              <w:rPr>
                <w:color w:val="FFFF00"/>
                <w:lang w:val="es-ES"/>
              </w:rPr>
              <w:t>La información reflejada en el informe presenta el estado de</w:t>
            </w:r>
            <w:r w:rsidR="002319FA">
              <w:rPr>
                <w:color w:val="FFFF00"/>
                <w:lang w:val="es-ES"/>
              </w:rPr>
              <w:t xml:space="preserve"> las </w:t>
            </w:r>
            <w:r w:rsidR="00FA6E5C">
              <w:rPr>
                <w:color w:val="FFFF00"/>
                <w:lang w:val="es-ES"/>
              </w:rPr>
              <w:t xml:space="preserve">directivas a fecha de </w:t>
            </w:r>
            <w:r w:rsidR="00A4037C">
              <w:rPr>
                <w:color w:val="FFFF00"/>
                <w:lang w:val="es-ES"/>
              </w:rPr>
              <w:t>NOVIEMBRE</w:t>
            </w:r>
            <w:r w:rsidR="006356D6">
              <w:rPr>
                <w:color w:val="FFFF00"/>
                <w:lang w:val="es-ES"/>
              </w:rPr>
              <w:t xml:space="preserve"> DE 2014</w:t>
            </w:r>
          </w:p>
          <w:p w:rsidR="003136D7" w:rsidRPr="003136D7" w:rsidRDefault="003136D7" w:rsidP="00411495">
            <w:pPr>
              <w:pStyle w:val="Prrafodelista"/>
              <w:numPr>
                <w:ilvl w:val="0"/>
                <w:numId w:val="13"/>
              </w:numPr>
              <w:rPr>
                <w:color w:val="FFFF00"/>
                <w:lang w:val="es-ES"/>
              </w:rPr>
            </w:pPr>
            <w:r w:rsidRPr="003136D7">
              <w:rPr>
                <w:color w:val="FFFF00"/>
                <w:lang w:val="es-ES"/>
              </w:rPr>
              <w:t>Cláusula de exención de responsabilidad:</w:t>
            </w:r>
          </w:p>
          <w:p w:rsidR="003136D7" w:rsidRPr="003136D7" w:rsidRDefault="003136D7" w:rsidP="00411495">
            <w:pPr>
              <w:pStyle w:val="Prrafodelista"/>
              <w:numPr>
                <w:ilvl w:val="1"/>
                <w:numId w:val="13"/>
              </w:numPr>
              <w:rPr>
                <w:color w:val="FFFF00"/>
                <w:lang w:val="es-ES"/>
              </w:rPr>
            </w:pPr>
            <w:r w:rsidRPr="003136D7">
              <w:rPr>
                <w:color w:val="FFFF00"/>
                <w:lang w:val="es-ES"/>
              </w:rPr>
              <w:t>La información incluida en este documento es de carácter general y no aborda circunstancias específicas relativas a empresas concretas;</w:t>
            </w:r>
          </w:p>
          <w:p w:rsidR="003136D7" w:rsidRPr="003136D7" w:rsidRDefault="003136D7" w:rsidP="00411495">
            <w:pPr>
              <w:pStyle w:val="Prrafodelista"/>
              <w:numPr>
                <w:ilvl w:val="1"/>
                <w:numId w:val="13"/>
              </w:numPr>
              <w:rPr>
                <w:color w:val="FFFF00"/>
                <w:lang w:val="es-ES"/>
              </w:rPr>
            </w:pPr>
            <w:r w:rsidRPr="003136D7">
              <w:rPr>
                <w:color w:val="FFFF00"/>
                <w:lang w:val="es-ES"/>
              </w:rPr>
              <w:t>No ofrece necesariamente información exhaustiva, completa, exacta o actualizada;</w:t>
            </w:r>
          </w:p>
          <w:p w:rsidR="003136D7" w:rsidRPr="003136D7" w:rsidRDefault="003136D7" w:rsidP="00411495">
            <w:pPr>
              <w:pStyle w:val="Prrafodelista"/>
              <w:numPr>
                <w:ilvl w:val="1"/>
                <w:numId w:val="13"/>
              </w:numPr>
              <w:rPr>
                <w:color w:val="FFFF00"/>
                <w:lang w:val="es-ES"/>
              </w:rPr>
            </w:pPr>
            <w:r w:rsidRPr="003136D7">
              <w:rPr>
                <w:color w:val="FFFF00"/>
                <w:lang w:val="es-ES"/>
              </w:rPr>
              <w:t>No ofrece asesoramiento profesional o jurídico.</w:t>
            </w:r>
          </w:p>
          <w:p w:rsidR="003136D7" w:rsidRPr="003136D7" w:rsidRDefault="003136D7" w:rsidP="00411495">
            <w:pPr>
              <w:pStyle w:val="Prrafodelista"/>
              <w:numPr>
                <w:ilvl w:val="0"/>
                <w:numId w:val="13"/>
              </w:numPr>
              <w:rPr>
                <w:color w:val="FFFF00"/>
                <w:lang w:val="es-ES"/>
              </w:rPr>
            </w:pPr>
            <w:r w:rsidRPr="003136D7">
              <w:rPr>
                <w:color w:val="FFFF00"/>
                <w:lang w:val="es-ES"/>
              </w:rPr>
              <w:t>Reproducción no autorizada sin el consentimiento previo por escrito de AFBEL</w:t>
            </w:r>
          </w:p>
          <w:p w:rsidR="003136D7" w:rsidRPr="003136D7" w:rsidRDefault="003136D7" w:rsidP="003136D7">
            <w:pPr>
              <w:rPr>
                <w:color w:val="FFFF00"/>
                <w:lang w:val="es-ES"/>
              </w:rPr>
            </w:pPr>
          </w:p>
        </w:tc>
      </w:tr>
    </w:tbl>
    <w:p w:rsidR="003136D7" w:rsidRPr="003136D7" w:rsidRDefault="003136D7" w:rsidP="003136D7">
      <w:pPr>
        <w:rPr>
          <w:lang w:val="es-ES"/>
        </w:rPr>
      </w:pPr>
    </w:p>
    <w:p w:rsidR="003136D7" w:rsidRDefault="003136D7" w:rsidP="003136D7">
      <w:pPr>
        <w:rPr>
          <w:lang w:val="es-ES"/>
        </w:rPr>
        <w:sectPr w:rsidR="003136D7" w:rsidSect="003136D7">
          <w:pgSz w:w="11907" w:h="16840" w:code="9"/>
          <w:pgMar w:top="1134" w:right="1134" w:bottom="1134" w:left="1134" w:header="851" w:footer="851" w:gutter="0"/>
          <w:pgNumType w:start="1"/>
          <w:cols w:space="720"/>
          <w:vAlign w:val="center"/>
        </w:sectPr>
      </w:pPr>
    </w:p>
    <w:p w:rsidR="003136D7" w:rsidRDefault="003136D7" w:rsidP="003136D7">
      <w:pPr>
        <w:rPr>
          <w:b/>
          <w:lang w:val="es-ES"/>
        </w:rPr>
      </w:pPr>
    </w:p>
    <w:p w:rsidR="00BF42F0" w:rsidRPr="00DE68EF" w:rsidRDefault="00964588">
      <w:pPr>
        <w:pStyle w:val="Puesto"/>
        <w:shd w:val="pct25" w:color="0000FF" w:fill="auto"/>
        <w:rPr>
          <w:rFonts w:ascii="Arial" w:hAnsi="Arial"/>
          <w:color w:val="0000FF"/>
          <w:spacing w:val="100"/>
          <w:sz w:val="32"/>
          <w:lang w:val="es-ES"/>
        </w:rPr>
      </w:pPr>
      <w:r>
        <w:rPr>
          <w:rFonts w:ascii="Arial" w:hAnsi="Arial"/>
          <w:color w:val="0000FF"/>
          <w:spacing w:val="100"/>
          <w:sz w:val="32"/>
          <w:lang w:val="es-ES"/>
        </w:rPr>
        <w:t>Í</w:t>
      </w:r>
      <w:r w:rsidR="00BF42F0" w:rsidRPr="00DE68EF">
        <w:rPr>
          <w:rFonts w:ascii="Arial" w:hAnsi="Arial"/>
          <w:color w:val="0000FF"/>
          <w:spacing w:val="100"/>
          <w:sz w:val="32"/>
          <w:lang w:val="es-ES"/>
        </w:rPr>
        <w:t>NDICE</w:t>
      </w:r>
    </w:p>
    <w:p w:rsidR="006870BF" w:rsidRDefault="00127462">
      <w:pPr>
        <w:pStyle w:val="TDC1"/>
        <w:tabs>
          <w:tab w:val="left" w:pos="480"/>
          <w:tab w:val="right" w:leader="dot" w:pos="9629"/>
        </w:tabs>
        <w:rPr>
          <w:rFonts w:asciiTheme="minorHAnsi" w:eastAsiaTheme="minorEastAsia" w:hAnsiTheme="minorHAnsi" w:cstheme="minorBidi"/>
          <w:b w:val="0"/>
          <w:caps w:val="0"/>
          <w:noProof/>
          <w:sz w:val="22"/>
          <w:szCs w:val="22"/>
          <w:lang w:val="es-ES"/>
        </w:rPr>
      </w:pPr>
      <w:r>
        <w:rPr>
          <w:b w:val="0"/>
          <w:caps w:val="0"/>
        </w:rPr>
        <w:fldChar w:fldCharType="begin"/>
      </w:r>
      <w:r w:rsidR="00BC5B35" w:rsidRPr="00BC5B35">
        <w:rPr>
          <w:b w:val="0"/>
          <w:caps w:val="0"/>
          <w:lang w:val="es-ES"/>
        </w:rPr>
        <w:instrText xml:space="preserve"> TOC \o "1-2" </w:instrText>
      </w:r>
      <w:r>
        <w:rPr>
          <w:b w:val="0"/>
          <w:caps w:val="0"/>
        </w:rPr>
        <w:fldChar w:fldCharType="separate"/>
      </w:r>
      <w:r w:rsidR="006870BF" w:rsidRPr="006870BF">
        <w:rPr>
          <w:noProof/>
          <w:lang w:val="es-ES"/>
        </w:rPr>
        <w:t>1.</w:t>
      </w:r>
      <w:r w:rsidR="006870BF">
        <w:rPr>
          <w:rFonts w:asciiTheme="minorHAnsi" w:eastAsiaTheme="minorEastAsia" w:hAnsiTheme="minorHAnsi" w:cstheme="minorBidi"/>
          <w:b w:val="0"/>
          <w:caps w:val="0"/>
          <w:noProof/>
          <w:sz w:val="22"/>
          <w:szCs w:val="22"/>
          <w:lang w:val="es-ES"/>
        </w:rPr>
        <w:tab/>
      </w:r>
      <w:r w:rsidR="006870BF" w:rsidRPr="006870BF">
        <w:rPr>
          <w:noProof/>
          <w:lang w:val="es-ES"/>
        </w:rPr>
        <w:t>ASIGNACIÓN DE RESPONSABILIDADES</w:t>
      </w:r>
      <w:r w:rsidR="006870BF" w:rsidRPr="006870BF">
        <w:rPr>
          <w:noProof/>
          <w:lang w:val="es-ES"/>
        </w:rPr>
        <w:tab/>
      </w:r>
      <w:r w:rsidR="006870BF">
        <w:rPr>
          <w:noProof/>
        </w:rPr>
        <w:fldChar w:fldCharType="begin"/>
      </w:r>
      <w:r w:rsidR="006870BF" w:rsidRPr="006870BF">
        <w:rPr>
          <w:noProof/>
          <w:lang w:val="es-ES"/>
        </w:rPr>
        <w:instrText xml:space="preserve"> PAGEREF _Toc404614842 \h </w:instrText>
      </w:r>
      <w:r w:rsidR="006870BF">
        <w:rPr>
          <w:noProof/>
        </w:rPr>
      </w:r>
      <w:r w:rsidR="006870BF">
        <w:rPr>
          <w:noProof/>
        </w:rPr>
        <w:fldChar w:fldCharType="separate"/>
      </w:r>
      <w:r w:rsidR="006870BF" w:rsidRPr="006870BF">
        <w:rPr>
          <w:noProof/>
          <w:lang w:val="es-ES"/>
        </w:rPr>
        <w:t>1</w:t>
      </w:r>
      <w:r w:rsidR="006870BF">
        <w:rPr>
          <w:noProof/>
        </w:rPr>
        <w:fldChar w:fldCharType="end"/>
      </w:r>
    </w:p>
    <w:p w:rsid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s-ES"/>
        </w:rPr>
      </w:pPr>
      <w:r w:rsidRPr="009C7431">
        <w:rPr>
          <w:noProof/>
          <w:lang w:val="es-ES"/>
        </w:rPr>
        <w:t>2.</w:t>
      </w:r>
      <w:r>
        <w:rPr>
          <w:rFonts w:asciiTheme="minorHAnsi" w:eastAsiaTheme="minorEastAsia" w:hAnsiTheme="minorHAnsi" w:cstheme="minorBidi"/>
          <w:b w:val="0"/>
          <w:caps w:val="0"/>
          <w:noProof/>
          <w:sz w:val="22"/>
          <w:szCs w:val="22"/>
          <w:lang w:val="es-ES"/>
        </w:rPr>
        <w:tab/>
      </w:r>
      <w:r w:rsidRPr="009C7431">
        <w:rPr>
          <w:noProof/>
          <w:lang w:val="es-ES"/>
        </w:rPr>
        <w:t xml:space="preserve">ANÁLISIS DE LAS DIRECTIVAS INCLUIDAS EN EL </w:t>
      </w:r>
      <w:r w:rsidRPr="009C7431">
        <w:rPr>
          <w:i/>
          <w:noProof/>
          <w:lang w:val="es-ES"/>
        </w:rPr>
        <w:t>“POSITION PAPER”</w:t>
      </w:r>
      <w:r w:rsidRPr="006870BF">
        <w:rPr>
          <w:noProof/>
          <w:lang w:val="es-ES"/>
        </w:rPr>
        <w:tab/>
      </w:r>
      <w:r>
        <w:rPr>
          <w:noProof/>
        </w:rPr>
        <w:fldChar w:fldCharType="begin"/>
      </w:r>
      <w:r w:rsidRPr="006870BF">
        <w:rPr>
          <w:noProof/>
          <w:lang w:val="es-ES"/>
        </w:rPr>
        <w:instrText xml:space="preserve"> PAGEREF _Toc404614843 \h </w:instrText>
      </w:r>
      <w:r>
        <w:rPr>
          <w:noProof/>
        </w:rPr>
      </w:r>
      <w:r>
        <w:rPr>
          <w:noProof/>
        </w:rPr>
        <w:fldChar w:fldCharType="separate"/>
      </w:r>
      <w:r w:rsidRPr="006870BF">
        <w:rPr>
          <w:noProof/>
          <w:lang w:val="es-ES"/>
        </w:rPr>
        <w:t>2</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2.1</w:t>
      </w:r>
      <w:r>
        <w:rPr>
          <w:rFonts w:asciiTheme="minorHAnsi" w:eastAsiaTheme="minorEastAsia" w:hAnsiTheme="minorHAnsi" w:cstheme="minorBidi"/>
          <w:smallCaps w:val="0"/>
          <w:noProof/>
          <w:sz w:val="22"/>
          <w:szCs w:val="22"/>
          <w:lang w:val="es-ES"/>
        </w:rPr>
        <w:tab/>
      </w:r>
      <w:r w:rsidRPr="009C7431">
        <w:rPr>
          <w:noProof/>
          <w:lang w:val="es-ES"/>
        </w:rPr>
        <w:t>MD - Directiva de máquinas 2006/42/EC</w:t>
      </w:r>
      <w:r w:rsidRPr="006870BF">
        <w:rPr>
          <w:noProof/>
          <w:lang w:val="es-ES"/>
        </w:rPr>
        <w:tab/>
      </w:r>
      <w:r>
        <w:rPr>
          <w:noProof/>
        </w:rPr>
        <w:fldChar w:fldCharType="begin"/>
      </w:r>
      <w:r w:rsidRPr="006870BF">
        <w:rPr>
          <w:noProof/>
          <w:lang w:val="es-ES"/>
        </w:rPr>
        <w:instrText xml:space="preserve"> PAGEREF _Toc404614844 \h </w:instrText>
      </w:r>
      <w:r>
        <w:rPr>
          <w:noProof/>
        </w:rPr>
      </w:r>
      <w:r>
        <w:rPr>
          <w:noProof/>
        </w:rPr>
        <w:fldChar w:fldCharType="separate"/>
      </w:r>
      <w:r w:rsidRPr="006870BF">
        <w:rPr>
          <w:noProof/>
          <w:lang w:val="es-ES"/>
        </w:rPr>
        <w:t>2</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2.2</w:t>
      </w:r>
      <w:r>
        <w:rPr>
          <w:rFonts w:asciiTheme="minorHAnsi" w:eastAsiaTheme="minorEastAsia" w:hAnsiTheme="minorHAnsi" w:cstheme="minorBidi"/>
          <w:smallCaps w:val="0"/>
          <w:noProof/>
          <w:sz w:val="22"/>
          <w:szCs w:val="22"/>
          <w:lang w:val="es-ES"/>
        </w:rPr>
        <w:tab/>
      </w:r>
      <w:r w:rsidRPr="009C7431">
        <w:rPr>
          <w:noProof/>
          <w:lang w:val="es-ES"/>
        </w:rPr>
        <w:t xml:space="preserve">EMCD - Directiva de compatibilidad electromagnética </w:t>
      </w:r>
      <w:r w:rsidRPr="009C7431">
        <w:rPr>
          <w:noProof/>
          <w:color w:val="FF0000"/>
          <w:lang w:val="es-ES"/>
        </w:rPr>
        <w:t>2014/34/EU (nueva referencia!)</w:t>
      </w:r>
      <w:r w:rsidRPr="006870BF">
        <w:rPr>
          <w:noProof/>
          <w:lang w:val="es-ES"/>
        </w:rPr>
        <w:tab/>
      </w:r>
      <w:r>
        <w:rPr>
          <w:noProof/>
        </w:rPr>
        <w:fldChar w:fldCharType="begin"/>
      </w:r>
      <w:r w:rsidRPr="006870BF">
        <w:rPr>
          <w:noProof/>
          <w:lang w:val="es-ES"/>
        </w:rPr>
        <w:instrText xml:space="preserve"> PAGEREF _Toc404614845 \h </w:instrText>
      </w:r>
      <w:r>
        <w:rPr>
          <w:noProof/>
        </w:rPr>
      </w:r>
      <w:r>
        <w:rPr>
          <w:noProof/>
        </w:rPr>
        <w:fldChar w:fldCharType="separate"/>
      </w:r>
      <w:r w:rsidRPr="006870BF">
        <w:rPr>
          <w:noProof/>
          <w:lang w:val="es-ES"/>
        </w:rPr>
        <w:t>2</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2.3</w:t>
      </w:r>
      <w:r>
        <w:rPr>
          <w:rFonts w:asciiTheme="minorHAnsi" w:eastAsiaTheme="minorEastAsia" w:hAnsiTheme="minorHAnsi" w:cstheme="minorBidi"/>
          <w:smallCaps w:val="0"/>
          <w:noProof/>
          <w:sz w:val="22"/>
          <w:szCs w:val="22"/>
          <w:lang w:val="es-ES"/>
        </w:rPr>
        <w:tab/>
      </w:r>
      <w:r w:rsidRPr="009C7431">
        <w:rPr>
          <w:noProof/>
          <w:lang w:val="es-ES"/>
        </w:rPr>
        <w:t xml:space="preserve">LVD - Directiva de baja tensión </w:t>
      </w:r>
      <w:r w:rsidRPr="009C7431">
        <w:rPr>
          <w:noProof/>
          <w:color w:val="FF0000"/>
          <w:lang w:val="es-ES"/>
        </w:rPr>
        <w:t>2014/35/EU (nueva referencia!)</w:t>
      </w:r>
      <w:r w:rsidRPr="006870BF">
        <w:rPr>
          <w:noProof/>
          <w:lang w:val="es-ES"/>
        </w:rPr>
        <w:tab/>
      </w:r>
      <w:r>
        <w:rPr>
          <w:noProof/>
        </w:rPr>
        <w:fldChar w:fldCharType="begin"/>
      </w:r>
      <w:r w:rsidRPr="006870BF">
        <w:rPr>
          <w:noProof/>
          <w:lang w:val="es-ES"/>
        </w:rPr>
        <w:instrText xml:space="preserve"> PAGEREF _Toc404614846 \h </w:instrText>
      </w:r>
      <w:r>
        <w:rPr>
          <w:noProof/>
        </w:rPr>
      </w:r>
      <w:r>
        <w:rPr>
          <w:noProof/>
        </w:rPr>
        <w:fldChar w:fldCharType="separate"/>
      </w:r>
      <w:r w:rsidRPr="006870BF">
        <w:rPr>
          <w:noProof/>
          <w:lang w:val="es-ES"/>
        </w:rPr>
        <w:t>3</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2.4</w:t>
      </w:r>
      <w:r>
        <w:rPr>
          <w:rFonts w:asciiTheme="minorHAnsi" w:eastAsiaTheme="minorEastAsia" w:hAnsiTheme="minorHAnsi" w:cstheme="minorBidi"/>
          <w:smallCaps w:val="0"/>
          <w:noProof/>
          <w:sz w:val="22"/>
          <w:szCs w:val="22"/>
          <w:lang w:val="es-ES"/>
        </w:rPr>
        <w:tab/>
      </w:r>
      <w:r w:rsidRPr="009C7431">
        <w:rPr>
          <w:noProof/>
          <w:lang w:val="es-ES"/>
        </w:rPr>
        <w:t>CPR - Reglamento de productos de la construcción 305/2011/EC</w:t>
      </w:r>
      <w:r w:rsidRPr="006870BF">
        <w:rPr>
          <w:noProof/>
          <w:lang w:val="es-ES"/>
        </w:rPr>
        <w:tab/>
      </w:r>
      <w:r>
        <w:rPr>
          <w:noProof/>
        </w:rPr>
        <w:fldChar w:fldCharType="begin"/>
      </w:r>
      <w:r w:rsidRPr="006870BF">
        <w:rPr>
          <w:noProof/>
          <w:lang w:val="es-ES"/>
        </w:rPr>
        <w:instrText xml:space="preserve"> PAGEREF _Toc404614847 \h </w:instrText>
      </w:r>
      <w:r>
        <w:rPr>
          <w:noProof/>
        </w:rPr>
      </w:r>
      <w:r>
        <w:rPr>
          <w:noProof/>
        </w:rPr>
        <w:fldChar w:fldCharType="separate"/>
      </w:r>
      <w:r w:rsidRPr="006870BF">
        <w:rPr>
          <w:noProof/>
          <w:lang w:val="es-ES"/>
        </w:rPr>
        <w:t>3</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2.5</w:t>
      </w:r>
      <w:r>
        <w:rPr>
          <w:rFonts w:asciiTheme="minorHAnsi" w:eastAsiaTheme="minorEastAsia" w:hAnsiTheme="minorHAnsi" w:cstheme="minorBidi"/>
          <w:smallCaps w:val="0"/>
          <w:noProof/>
          <w:sz w:val="22"/>
          <w:szCs w:val="22"/>
          <w:lang w:val="es-ES"/>
        </w:rPr>
        <w:tab/>
      </w:r>
      <w:r w:rsidRPr="009C7431">
        <w:rPr>
          <w:noProof/>
          <w:lang w:val="es-ES"/>
        </w:rPr>
        <w:t xml:space="preserve">PED - Directiva de equipos a presión 97/23/EC </w:t>
      </w:r>
      <w:r w:rsidRPr="009C7431">
        <w:rPr>
          <w:noProof/>
          <w:color w:val="FF0000"/>
          <w:lang w:val="es-ES"/>
        </w:rPr>
        <w:t>(Nueva referencia 2014/68/EU)</w:t>
      </w:r>
      <w:r w:rsidRPr="006870BF">
        <w:rPr>
          <w:noProof/>
          <w:lang w:val="es-ES"/>
        </w:rPr>
        <w:tab/>
      </w:r>
      <w:r>
        <w:rPr>
          <w:noProof/>
        </w:rPr>
        <w:fldChar w:fldCharType="begin"/>
      </w:r>
      <w:r w:rsidRPr="006870BF">
        <w:rPr>
          <w:noProof/>
          <w:lang w:val="es-ES"/>
        </w:rPr>
        <w:instrText xml:space="preserve"> PAGEREF _Toc404614848 \h </w:instrText>
      </w:r>
      <w:r>
        <w:rPr>
          <w:noProof/>
        </w:rPr>
      </w:r>
      <w:r>
        <w:rPr>
          <w:noProof/>
        </w:rPr>
        <w:fldChar w:fldCharType="separate"/>
      </w:r>
      <w:r w:rsidRPr="006870BF">
        <w:rPr>
          <w:noProof/>
          <w:lang w:val="es-ES"/>
        </w:rPr>
        <w:t>4</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2.6</w:t>
      </w:r>
      <w:r>
        <w:rPr>
          <w:rFonts w:asciiTheme="minorHAnsi" w:eastAsiaTheme="minorEastAsia" w:hAnsiTheme="minorHAnsi" w:cstheme="minorBidi"/>
          <w:smallCaps w:val="0"/>
          <w:noProof/>
          <w:sz w:val="22"/>
          <w:szCs w:val="22"/>
          <w:lang w:val="es-ES"/>
        </w:rPr>
        <w:tab/>
      </w:r>
      <w:r w:rsidRPr="009C7431">
        <w:rPr>
          <w:noProof/>
          <w:lang w:val="es-ES"/>
        </w:rPr>
        <w:t xml:space="preserve">ERP - Directiva de productos relacionados con la energía 2009/125/EC </w:t>
      </w:r>
      <w:r w:rsidRPr="009C7431">
        <w:rPr>
          <w:noProof/>
          <w:color w:val="FF0000"/>
          <w:lang w:val="es-ES"/>
        </w:rPr>
        <w:t>(Medida de aplicación a transformadores – Reglamento 548/2014 de Mayo de 2014)</w:t>
      </w:r>
      <w:r w:rsidRPr="006870BF">
        <w:rPr>
          <w:noProof/>
          <w:lang w:val="es-ES"/>
        </w:rPr>
        <w:tab/>
      </w:r>
      <w:r>
        <w:rPr>
          <w:noProof/>
        </w:rPr>
        <w:fldChar w:fldCharType="begin"/>
      </w:r>
      <w:r w:rsidRPr="006870BF">
        <w:rPr>
          <w:noProof/>
          <w:lang w:val="es-ES"/>
        </w:rPr>
        <w:instrText xml:space="preserve"> PAGEREF _Toc404614849 \h </w:instrText>
      </w:r>
      <w:r>
        <w:rPr>
          <w:noProof/>
        </w:rPr>
      </w:r>
      <w:r>
        <w:rPr>
          <w:noProof/>
        </w:rPr>
        <w:fldChar w:fldCharType="separate"/>
      </w:r>
      <w:r w:rsidRPr="006870BF">
        <w:rPr>
          <w:noProof/>
          <w:lang w:val="es-ES"/>
        </w:rPr>
        <w:t>4</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2.7</w:t>
      </w:r>
      <w:r>
        <w:rPr>
          <w:rFonts w:asciiTheme="minorHAnsi" w:eastAsiaTheme="minorEastAsia" w:hAnsiTheme="minorHAnsi" w:cstheme="minorBidi"/>
          <w:smallCaps w:val="0"/>
          <w:noProof/>
          <w:sz w:val="22"/>
          <w:szCs w:val="22"/>
          <w:lang w:val="es-ES"/>
        </w:rPr>
        <w:tab/>
      </w:r>
      <w:r w:rsidRPr="009C7431">
        <w:rPr>
          <w:noProof/>
          <w:lang w:val="es-ES"/>
        </w:rPr>
        <w:t>WEEE - directiva de residuos de aparatos eléctricos y electrónicos (2012/19/EU)</w:t>
      </w:r>
      <w:r w:rsidRPr="006870BF">
        <w:rPr>
          <w:noProof/>
          <w:lang w:val="es-ES"/>
        </w:rPr>
        <w:tab/>
      </w:r>
      <w:r>
        <w:rPr>
          <w:noProof/>
        </w:rPr>
        <w:fldChar w:fldCharType="begin"/>
      </w:r>
      <w:r w:rsidRPr="006870BF">
        <w:rPr>
          <w:noProof/>
          <w:lang w:val="es-ES"/>
        </w:rPr>
        <w:instrText xml:space="preserve"> PAGEREF _Toc404614850 \h </w:instrText>
      </w:r>
      <w:r>
        <w:rPr>
          <w:noProof/>
        </w:rPr>
      </w:r>
      <w:r>
        <w:rPr>
          <w:noProof/>
        </w:rPr>
        <w:fldChar w:fldCharType="separate"/>
      </w:r>
      <w:r w:rsidRPr="006870BF">
        <w:rPr>
          <w:noProof/>
          <w:lang w:val="es-ES"/>
        </w:rPr>
        <w:t>5</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2.8</w:t>
      </w:r>
      <w:r>
        <w:rPr>
          <w:rFonts w:asciiTheme="minorHAnsi" w:eastAsiaTheme="minorEastAsia" w:hAnsiTheme="minorHAnsi" w:cstheme="minorBidi"/>
          <w:smallCaps w:val="0"/>
          <w:noProof/>
          <w:sz w:val="22"/>
          <w:szCs w:val="22"/>
          <w:lang w:val="es-ES"/>
        </w:rPr>
        <w:tab/>
      </w:r>
      <w:r w:rsidRPr="009C7431">
        <w:rPr>
          <w:noProof/>
          <w:lang w:val="es-ES"/>
        </w:rPr>
        <w:t>ROHS 2 - directiva sobre la restricción en el uso de ciertas substancias peligrosas en los equipos eléctricos y electrónicos (2011/65/EC)</w:t>
      </w:r>
      <w:r w:rsidRPr="006870BF">
        <w:rPr>
          <w:noProof/>
          <w:lang w:val="es-ES"/>
        </w:rPr>
        <w:tab/>
      </w:r>
      <w:r>
        <w:rPr>
          <w:noProof/>
        </w:rPr>
        <w:fldChar w:fldCharType="begin"/>
      </w:r>
      <w:r w:rsidRPr="006870BF">
        <w:rPr>
          <w:noProof/>
          <w:lang w:val="es-ES"/>
        </w:rPr>
        <w:instrText xml:space="preserve"> PAGEREF _Toc404614851 \h </w:instrText>
      </w:r>
      <w:r>
        <w:rPr>
          <w:noProof/>
        </w:rPr>
      </w:r>
      <w:r>
        <w:rPr>
          <w:noProof/>
        </w:rPr>
        <w:fldChar w:fldCharType="separate"/>
      </w:r>
      <w:r w:rsidRPr="006870BF">
        <w:rPr>
          <w:noProof/>
          <w:lang w:val="es-ES"/>
        </w:rPr>
        <w:t>8</w:t>
      </w:r>
      <w:r>
        <w:rPr>
          <w:noProof/>
        </w:rPr>
        <w:fldChar w:fldCharType="end"/>
      </w:r>
    </w:p>
    <w:p w:rsid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s-ES"/>
        </w:rPr>
      </w:pPr>
      <w:r w:rsidRPr="009C7431">
        <w:rPr>
          <w:noProof/>
          <w:lang w:val="es-ES"/>
        </w:rPr>
        <w:t>3.</w:t>
      </w:r>
      <w:r>
        <w:rPr>
          <w:rFonts w:asciiTheme="minorHAnsi" w:eastAsiaTheme="minorEastAsia" w:hAnsiTheme="minorHAnsi" w:cstheme="minorBidi"/>
          <w:b w:val="0"/>
          <w:caps w:val="0"/>
          <w:noProof/>
          <w:sz w:val="22"/>
          <w:szCs w:val="22"/>
          <w:lang w:val="es-ES"/>
        </w:rPr>
        <w:tab/>
      </w:r>
      <w:r w:rsidRPr="009C7431">
        <w:rPr>
          <w:noProof/>
          <w:lang w:val="es-ES"/>
        </w:rPr>
        <w:t xml:space="preserve">ANÁLISIS DE OTRAS DIRECTIVAS NO INCLUIDAS EN EL </w:t>
      </w:r>
      <w:r w:rsidRPr="009C7431">
        <w:rPr>
          <w:i/>
          <w:noProof/>
          <w:lang w:val="es-ES"/>
        </w:rPr>
        <w:t>“POSITION PAPER”</w:t>
      </w:r>
      <w:r w:rsidRPr="006870BF">
        <w:rPr>
          <w:noProof/>
          <w:lang w:val="es-ES"/>
        </w:rPr>
        <w:tab/>
      </w:r>
      <w:r>
        <w:rPr>
          <w:noProof/>
        </w:rPr>
        <w:fldChar w:fldCharType="begin"/>
      </w:r>
      <w:r w:rsidRPr="006870BF">
        <w:rPr>
          <w:noProof/>
          <w:lang w:val="es-ES"/>
        </w:rPr>
        <w:instrText xml:space="preserve"> PAGEREF _Toc404614852 \h </w:instrText>
      </w:r>
      <w:r>
        <w:rPr>
          <w:noProof/>
        </w:rPr>
      </w:r>
      <w:r>
        <w:rPr>
          <w:noProof/>
        </w:rPr>
        <w:fldChar w:fldCharType="separate"/>
      </w:r>
      <w:r w:rsidRPr="006870BF">
        <w:rPr>
          <w:noProof/>
          <w:lang w:val="es-ES"/>
        </w:rPr>
        <w:t>9</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3.1</w:t>
      </w:r>
      <w:r>
        <w:rPr>
          <w:rFonts w:asciiTheme="minorHAnsi" w:eastAsiaTheme="minorEastAsia" w:hAnsiTheme="minorHAnsi" w:cstheme="minorBidi"/>
          <w:smallCaps w:val="0"/>
          <w:noProof/>
          <w:sz w:val="22"/>
          <w:szCs w:val="22"/>
          <w:lang w:val="es-ES"/>
        </w:rPr>
        <w:tab/>
      </w:r>
      <w:r w:rsidRPr="009C7431">
        <w:rPr>
          <w:noProof/>
          <w:lang w:val="es-ES"/>
        </w:rPr>
        <w:t>EMFW - Directiva de Campos electromagnéticos para los trabajadores (2013/35/EU)</w:t>
      </w:r>
      <w:r w:rsidRPr="006870BF">
        <w:rPr>
          <w:noProof/>
          <w:lang w:val="es-ES"/>
        </w:rPr>
        <w:tab/>
      </w:r>
      <w:r>
        <w:rPr>
          <w:noProof/>
        </w:rPr>
        <w:fldChar w:fldCharType="begin"/>
      </w:r>
      <w:r w:rsidRPr="006870BF">
        <w:rPr>
          <w:noProof/>
          <w:lang w:val="es-ES"/>
        </w:rPr>
        <w:instrText xml:space="preserve"> PAGEREF _Toc404614853 \h </w:instrText>
      </w:r>
      <w:r>
        <w:rPr>
          <w:noProof/>
        </w:rPr>
      </w:r>
      <w:r>
        <w:rPr>
          <w:noProof/>
        </w:rPr>
        <w:fldChar w:fldCharType="separate"/>
      </w:r>
      <w:r w:rsidRPr="006870BF">
        <w:rPr>
          <w:noProof/>
          <w:lang w:val="es-ES"/>
        </w:rPr>
        <w:t>9</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3.2</w:t>
      </w:r>
      <w:r>
        <w:rPr>
          <w:rFonts w:asciiTheme="minorHAnsi" w:eastAsiaTheme="minorEastAsia" w:hAnsiTheme="minorHAnsi" w:cstheme="minorBidi"/>
          <w:smallCaps w:val="0"/>
          <w:noProof/>
          <w:sz w:val="22"/>
          <w:szCs w:val="22"/>
          <w:lang w:val="es-ES"/>
        </w:rPr>
        <w:tab/>
      </w:r>
      <w:r w:rsidRPr="009C7431">
        <w:rPr>
          <w:noProof/>
          <w:lang w:val="es-ES"/>
        </w:rPr>
        <w:t>EMFP - Recomendación EMF para público en general</w:t>
      </w:r>
      <w:r w:rsidRPr="006870BF">
        <w:rPr>
          <w:noProof/>
          <w:lang w:val="es-ES"/>
        </w:rPr>
        <w:tab/>
      </w:r>
      <w:r>
        <w:rPr>
          <w:noProof/>
        </w:rPr>
        <w:fldChar w:fldCharType="begin"/>
      </w:r>
      <w:r w:rsidRPr="006870BF">
        <w:rPr>
          <w:noProof/>
          <w:lang w:val="es-ES"/>
        </w:rPr>
        <w:instrText xml:space="preserve"> PAGEREF _Toc404614854 \h </w:instrText>
      </w:r>
      <w:r>
        <w:rPr>
          <w:noProof/>
        </w:rPr>
      </w:r>
      <w:r>
        <w:rPr>
          <w:noProof/>
        </w:rPr>
        <w:fldChar w:fldCharType="separate"/>
      </w:r>
      <w:r w:rsidRPr="006870BF">
        <w:rPr>
          <w:noProof/>
          <w:lang w:val="es-ES"/>
        </w:rPr>
        <w:t>9</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3.3</w:t>
      </w:r>
      <w:r>
        <w:rPr>
          <w:rFonts w:asciiTheme="minorHAnsi" w:eastAsiaTheme="minorEastAsia" w:hAnsiTheme="minorHAnsi" w:cstheme="minorBidi"/>
          <w:smallCaps w:val="0"/>
          <w:noProof/>
          <w:sz w:val="22"/>
          <w:szCs w:val="22"/>
          <w:lang w:val="es-ES"/>
        </w:rPr>
        <w:tab/>
      </w:r>
      <w:r w:rsidRPr="009C7431">
        <w:rPr>
          <w:noProof/>
          <w:lang w:val="es-ES"/>
        </w:rPr>
        <w:t>REACH</w:t>
      </w:r>
      <w:r w:rsidRPr="006870BF">
        <w:rPr>
          <w:noProof/>
          <w:lang w:val="es-ES"/>
        </w:rPr>
        <w:tab/>
      </w:r>
      <w:r>
        <w:rPr>
          <w:noProof/>
        </w:rPr>
        <w:fldChar w:fldCharType="begin"/>
      </w:r>
      <w:r w:rsidRPr="006870BF">
        <w:rPr>
          <w:noProof/>
          <w:lang w:val="es-ES"/>
        </w:rPr>
        <w:instrText xml:space="preserve"> PAGEREF _Toc404614855 \h </w:instrText>
      </w:r>
      <w:r>
        <w:rPr>
          <w:noProof/>
        </w:rPr>
      </w:r>
      <w:r>
        <w:rPr>
          <w:noProof/>
        </w:rPr>
        <w:fldChar w:fldCharType="separate"/>
      </w:r>
      <w:r w:rsidRPr="006870BF">
        <w:rPr>
          <w:noProof/>
          <w:lang w:val="es-ES"/>
        </w:rPr>
        <w:t>9</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3.4</w:t>
      </w:r>
      <w:r>
        <w:rPr>
          <w:rFonts w:asciiTheme="minorHAnsi" w:eastAsiaTheme="minorEastAsia" w:hAnsiTheme="minorHAnsi" w:cstheme="minorBidi"/>
          <w:smallCaps w:val="0"/>
          <w:noProof/>
          <w:sz w:val="22"/>
          <w:szCs w:val="22"/>
          <w:lang w:val="es-ES"/>
        </w:rPr>
        <w:tab/>
      </w:r>
      <w:r w:rsidRPr="009C7431">
        <w:rPr>
          <w:noProof/>
          <w:lang w:val="es-ES"/>
        </w:rPr>
        <w:t>F-GASES - Reglamento de gases fluorados (517/2014)</w:t>
      </w:r>
      <w:r w:rsidRPr="006870BF">
        <w:rPr>
          <w:noProof/>
          <w:lang w:val="es-ES"/>
        </w:rPr>
        <w:tab/>
      </w:r>
      <w:r>
        <w:rPr>
          <w:noProof/>
        </w:rPr>
        <w:fldChar w:fldCharType="begin"/>
      </w:r>
      <w:r w:rsidRPr="006870BF">
        <w:rPr>
          <w:noProof/>
          <w:lang w:val="es-ES"/>
        </w:rPr>
        <w:instrText xml:space="preserve"> PAGEREF _Toc404614856 \h </w:instrText>
      </w:r>
      <w:r>
        <w:rPr>
          <w:noProof/>
        </w:rPr>
      </w:r>
      <w:r>
        <w:rPr>
          <w:noProof/>
        </w:rPr>
        <w:fldChar w:fldCharType="separate"/>
      </w:r>
      <w:r w:rsidRPr="006870BF">
        <w:rPr>
          <w:noProof/>
          <w:lang w:val="es-ES"/>
        </w:rPr>
        <w:t>10</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3.5</w:t>
      </w:r>
      <w:r w:rsidRPr="006870BF">
        <w:rPr>
          <w:rFonts w:asciiTheme="minorHAnsi" w:eastAsiaTheme="minorEastAsia" w:hAnsiTheme="minorHAnsi" w:cstheme="minorBidi"/>
          <w:smallCaps w:val="0"/>
          <w:noProof/>
          <w:sz w:val="22"/>
          <w:szCs w:val="22"/>
          <w:lang w:val="en-US"/>
        </w:rPr>
        <w:tab/>
      </w:r>
      <w:r w:rsidRPr="009C7431">
        <w:rPr>
          <w:noProof/>
          <w:lang w:val="en-US"/>
        </w:rPr>
        <w:t>Noise: emission in the environment by equipment for use outdoors</w:t>
      </w:r>
      <w:r>
        <w:rPr>
          <w:noProof/>
        </w:rPr>
        <w:tab/>
      </w:r>
      <w:r>
        <w:rPr>
          <w:noProof/>
        </w:rPr>
        <w:fldChar w:fldCharType="begin"/>
      </w:r>
      <w:r>
        <w:rPr>
          <w:noProof/>
        </w:rPr>
        <w:instrText xml:space="preserve"> PAGEREF _Toc404614857 \h </w:instrText>
      </w:r>
      <w:r>
        <w:rPr>
          <w:noProof/>
        </w:rPr>
      </w:r>
      <w:r>
        <w:rPr>
          <w:noProof/>
        </w:rPr>
        <w:fldChar w:fldCharType="separate"/>
      </w:r>
      <w:r>
        <w:rPr>
          <w:noProof/>
        </w:rPr>
        <w:t>11</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6870BF">
        <w:rPr>
          <w:noProof/>
          <w:lang w:val="en-US"/>
        </w:rPr>
        <w:t>3.6</w:t>
      </w:r>
      <w:r w:rsidRPr="006870BF">
        <w:rPr>
          <w:rFonts w:asciiTheme="minorHAnsi" w:eastAsiaTheme="minorEastAsia" w:hAnsiTheme="minorHAnsi" w:cstheme="minorBidi"/>
          <w:smallCaps w:val="0"/>
          <w:noProof/>
          <w:sz w:val="22"/>
          <w:szCs w:val="22"/>
          <w:lang w:val="en-US"/>
        </w:rPr>
        <w:tab/>
      </w:r>
      <w:r w:rsidRPr="006870BF">
        <w:rPr>
          <w:noProof/>
          <w:lang w:val="en-US"/>
        </w:rPr>
        <w:t>Waste (Directiva 2008/98/EC)</w:t>
      </w:r>
      <w:r>
        <w:rPr>
          <w:noProof/>
        </w:rPr>
        <w:tab/>
      </w:r>
      <w:r>
        <w:rPr>
          <w:noProof/>
        </w:rPr>
        <w:fldChar w:fldCharType="begin"/>
      </w:r>
      <w:r>
        <w:rPr>
          <w:noProof/>
        </w:rPr>
        <w:instrText xml:space="preserve"> PAGEREF _Toc404614858 \h </w:instrText>
      </w:r>
      <w:r>
        <w:rPr>
          <w:noProof/>
        </w:rPr>
      </w:r>
      <w:r>
        <w:rPr>
          <w:noProof/>
        </w:rPr>
        <w:fldChar w:fldCharType="separate"/>
      </w:r>
      <w:r>
        <w:rPr>
          <w:noProof/>
        </w:rPr>
        <w:t>11</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3.7</w:t>
      </w:r>
      <w:r w:rsidRPr="006870BF">
        <w:rPr>
          <w:rFonts w:asciiTheme="minorHAnsi" w:eastAsiaTheme="minorEastAsia" w:hAnsiTheme="minorHAnsi" w:cstheme="minorBidi"/>
          <w:smallCaps w:val="0"/>
          <w:noProof/>
          <w:sz w:val="22"/>
          <w:szCs w:val="22"/>
          <w:lang w:val="en-US"/>
        </w:rPr>
        <w:tab/>
      </w:r>
      <w:r w:rsidRPr="009C7431">
        <w:rPr>
          <w:noProof/>
          <w:lang w:val="en-US"/>
        </w:rPr>
        <w:t>EED - Energy efficiency directive (2012/27/EU)</w:t>
      </w:r>
      <w:r>
        <w:rPr>
          <w:noProof/>
        </w:rPr>
        <w:tab/>
      </w:r>
      <w:r>
        <w:rPr>
          <w:noProof/>
        </w:rPr>
        <w:fldChar w:fldCharType="begin"/>
      </w:r>
      <w:r>
        <w:rPr>
          <w:noProof/>
        </w:rPr>
        <w:instrText xml:space="preserve"> PAGEREF _Toc404614859 \h </w:instrText>
      </w:r>
      <w:r>
        <w:rPr>
          <w:noProof/>
        </w:rPr>
      </w:r>
      <w:r>
        <w:rPr>
          <w:noProof/>
        </w:rPr>
        <w:fldChar w:fldCharType="separate"/>
      </w:r>
      <w:r>
        <w:rPr>
          <w:noProof/>
        </w:rPr>
        <w:t>12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3.8</w:t>
      </w:r>
      <w:r w:rsidRPr="006870BF">
        <w:rPr>
          <w:rFonts w:asciiTheme="minorHAnsi" w:eastAsiaTheme="minorEastAsia" w:hAnsiTheme="minorHAnsi" w:cstheme="minorBidi"/>
          <w:smallCaps w:val="0"/>
          <w:noProof/>
          <w:sz w:val="22"/>
          <w:szCs w:val="22"/>
          <w:lang w:val="en-US"/>
        </w:rPr>
        <w:tab/>
      </w:r>
      <w:r w:rsidRPr="009C7431">
        <w:rPr>
          <w:noProof/>
          <w:lang w:val="en-US"/>
        </w:rPr>
        <w:t>SCP - Sustainable consumption and production Action Plan</w:t>
      </w:r>
      <w:r>
        <w:rPr>
          <w:noProof/>
        </w:rPr>
        <w:tab/>
      </w:r>
      <w:r>
        <w:rPr>
          <w:noProof/>
        </w:rPr>
        <w:fldChar w:fldCharType="begin"/>
      </w:r>
      <w:r>
        <w:rPr>
          <w:noProof/>
        </w:rPr>
        <w:instrText xml:space="preserve"> PAGEREF _Toc404614860 \h </w:instrText>
      </w:r>
      <w:r>
        <w:rPr>
          <w:noProof/>
        </w:rPr>
      </w:r>
      <w:r>
        <w:rPr>
          <w:noProof/>
        </w:rPr>
        <w:fldChar w:fldCharType="separate"/>
      </w:r>
      <w:r>
        <w:rPr>
          <w:noProof/>
        </w:rPr>
        <w:t>13</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3.9</w:t>
      </w:r>
      <w:r>
        <w:rPr>
          <w:rFonts w:asciiTheme="minorHAnsi" w:eastAsiaTheme="minorEastAsia" w:hAnsiTheme="minorHAnsi" w:cstheme="minorBidi"/>
          <w:smallCaps w:val="0"/>
          <w:noProof/>
          <w:sz w:val="22"/>
          <w:szCs w:val="22"/>
          <w:lang w:val="es-ES"/>
        </w:rPr>
        <w:tab/>
      </w:r>
      <w:r w:rsidRPr="009C7431">
        <w:rPr>
          <w:noProof/>
          <w:lang w:val="es-ES"/>
        </w:rPr>
        <w:t>Compra pública</w:t>
      </w:r>
      <w:r w:rsidRPr="006870BF">
        <w:rPr>
          <w:noProof/>
          <w:lang w:val="es-ES"/>
        </w:rPr>
        <w:tab/>
      </w:r>
      <w:r>
        <w:rPr>
          <w:noProof/>
        </w:rPr>
        <w:fldChar w:fldCharType="begin"/>
      </w:r>
      <w:r w:rsidRPr="006870BF">
        <w:rPr>
          <w:noProof/>
          <w:lang w:val="es-ES"/>
        </w:rPr>
        <w:instrText xml:space="preserve"> PAGEREF _Toc404614861 \h </w:instrText>
      </w:r>
      <w:r>
        <w:rPr>
          <w:noProof/>
        </w:rPr>
      </w:r>
      <w:r>
        <w:rPr>
          <w:noProof/>
        </w:rPr>
        <w:fldChar w:fldCharType="separate"/>
      </w:r>
      <w:r w:rsidRPr="006870BF">
        <w:rPr>
          <w:noProof/>
          <w:lang w:val="es-ES"/>
        </w:rPr>
        <w:t>13</w:t>
      </w:r>
      <w:r>
        <w:rPr>
          <w:noProof/>
        </w:rPr>
        <w:fldChar w:fldCharType="end"/>
      </w:r>
    </w:p>
    <w:p w:rsid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s-ES"/>
        </w:rPr>
      </w:pPr>
      <w:r w:rsidRPr="009C7431">
        <w:rPr>
          <w:noProof/>
          <w:lang w:val="es-ES"/>
        </w:rPr>
        <w:t>3.10</w:t>
      </w:r>
      <w:r>
        <w:rPr>
          <w:rFonts w:asciiTheme="minorHAnsi" w:eastAsiaTheme="minorEastAsia" w:hAnsiTheme="minorHAnsi" w:cstheme="minorBidi"/>
          <w:smallCaps w:val="0"/>
          <w:noProof/>
          <w:sz w:val="22"/>
          <w:szCs w:val="22"/>
          <w:lang w:val="es-ES"/>
        </w:rPr>
        <w:tab/>
      </w:r>
      <w:r w:rsidRPr="009C7431">
        <w:rPr>
          <w:noProof/>
          <w:lang w:val="es-ES"/>
        </w:rPr>
        <w:t>Environmental footprint initiative / huella de carbono</w:t>
      </w:r>
      <w:r w:rsidRPr="006870BF">
        <w:rPr>
          <w:noProof/>
          <w:lang w:val="es-ES"/>
        </w:rPr>
        <w:tab/>
      </w:r>
      <w:r>
        <w:rPr>
          <w:noProof/>
        </w:rPr>
        <w:fldChar w:fldCharType="begin"/>
      </w:r>
      <w:r w:rsidRPr="006870BF">
        <w:rPr>
          <w:noProof/>
          <w:lang w:val="es-ES"/>
        </w:rPr>
        <w:instrText xml:space="preserve"> PAGEREF _Toc404614862 \h </w:instrText>
      </w:r>
      <w:r>
        <w:rPr>
          <w:noProof/>
        </w:rPr>
      </w:r>
      <w:r>
        <w:rPr>
          <w:noProof/>
        </w:rPr>
        <w:fldChar w:fldCharType="separate"/>
      </w:r>
      <w:r w:rsidRPr="006870BF">
        <w:rPr>
          <w:noProof/>
          <w:lang w:val="es-ES"/>
        </w:rPr>
        <w:t>13</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6870BF">
        <w:rPr>
          <w:noProof/>
          <w:lang w:val="en-US"/>
        </w:rPr>
        <w:t>3.11</w:t>
      </w:r>
      <w:r w:rsidRPr="006870BF">
        <w:rPr>
          <w:rFonts w:asciiTheme="minorHAnsi" w:eastAsiaTheme="minorEastAsia" w:hAnsiTheme="minorHAnsi" w:cstheme="minorBidi"/>
          <w:smallCaps w:val="0"/>
          <w:noProof/>
          <w:sz w:val="22"/>
          <w:szCs w:val="22"/>
          <w:lang w:val="en-US"/>
        </w:rPr>
        <w:tab/>
      </w:r>
      <w:r w:rsidRPr="006870BF">
        <w:rPr>
          <w:noProof/>
          <w:lang w:val="en-US"/>
        </w:rPr>
        <w:t>ATEX Product Directive</w:t>
      </w:r>
      <w:r>
        <w:rPr>
          <w:noProof/>
        </w:rPr>
        <w:tab/>
      </w:r>
      <w:r>
        <w:rPr>
          <w:noProof/>
        </w:rPr>
        <w:fldChar w:fldCharType="begin"/>
      </w:r>
      <w:r>
        <w:rPr>
          <w:noProof/>
        </w:rPr>
        <w:instrText xml:space="preserve"> PAGEREF _Toc404614863 \h </w:instrText>
      </w:r>
      <w:r>
        <w:rPr>
          <w:noProof/>
        </w:rPr>
      </w:r>
      <w:r>
        <w:rPr>
          <w:noProof/>
        </w:rPr>
        <w:fldChar w:fldCharType="separate"/>
      </w:r>
      <w:r>
        <w:rPr>
          <w:noProof/>
        </w:rPr>
        <w:t>14</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3.12</w:t>
      </w:r>
      <w:r w:rsidRPr="006870BF">
        <w:rPr>
          <w:rFonts w:asciiTheme="minorHAnsi" w:eastAsiaTheme="minorEastAsia" w:hAnsiTheme="minorHAnsi" w:cstheme="minorBidi"/>
          <w:smallCaps w:val="0"/>
          <w:noProof/>
          <w:sz w:val="22"/>
          <w:szCs w:val="22"/>
          <w:lang w:val="en-US"/>
        </w:rPr>
        <w:tab/>
      </w:r>
      <w:r w:rsidRPr="009C7431">
        <w:rPr>
          <w:noProof/>
          <w:lang w:val="en-US"/>
        </w:rPr>
        <w:t>Energy labelling / Indication by labelling and standard product information of the consumption of energy and other resources by energy-related products (2010/30/EU)</w:t>
      </w:r>
      <w:r>
        <w:rPr>
          <w:noProof/>
        </w:rPr>
        <w:tab/>
      </w:r>
      <w:r>
        <w:rPr>
          <w:noProof/>
        </w:rPr>
        <w:fldChar w:fldCharType="begin"/>
      </w:r>
      <w:r>
        <w:rPr>
          <w:noProof/>
        </w:rPr>
        <w:instrText xml:space="preserve"> PAGEREF _Toc404614864 \h </w:instrText>
      </w:r>
      <w:r>
        <w:rPr>
          <w:noProof/>
        </w:rPr>
      </w:r>
      <w:r>
        <w:rPr>
          <w:noProof/>
        </w:rPr>
        <w:fldChar w:fldCharType="separate"/>
      </w:r>
      <w:r>
        <w:rPr>
          <w:noProof/>
        </w:rPr>
        <w:t>14</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3.13</w:t>
      </w:r>
      <w:r w:rsidRPr="006870BF">
        <w:rPr>
          <w:rFonts w:asciiTheme="minorHAnsi" w:eastAsiaTheme="minorEastAsia" w:hAnsiTheme="minorHAnsi" w:cstheme="minorBidi"/>
          <w:smallCaps w:val="0"/>
          <w:noProof/>
          <w:sz w:val="22"/>
          <w:szCs w:val="22"/>
          <w:lang w:val="en-US"/>
        </w:rPr>
        <w:tab/>
      </w:r>
      <w:r w:rsidRPr="009C7431">
        <w:rPr>
          <w:noProof/>
          <w:lang w:val="en-US"/>
        </w:rPr>
        <w:t>Proposal for a Directive on deployment of alternative fuel infrastructures”</w:t>
      </w:r>
      <w:r>
        <w:rPr>
          <w:noProof/>
        </w:rPr>
        <w:tab/>
      </w:r>
      <w:r>
        <w:rPr>
          <w:noProof/>
        </w:rPr>
        <w:fldChar w:fldCharType="begin"/>
      </w:r>
      <w:r>
        <w:rPr>
          <w:noProof/>
        </w:rPr>
        <w:instrText xml:space="preserve"> PAGEREF _Toc404614865 \h </w:instrText>
      </w:r>
      <w:r>
        <w:rPr>
          <w:noProof/>
        </w:rPr>
      </w:r>
      <w:r>
        <w:rPr>
          <w:noProof/>
        </w:rPr>
        <w:fldChar w:fldCharType="separate"/>
      </w:r>
      <w:r>
        <w:rPr>
          <w:noProof/>
        </w:rPr>
        <w:t>15</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3.14</w:t>
      </w:r>
      <w:r w:rsidRPr="006870BF">
        <w:rPr>
          <w:rFonts w:asciiTheme="minorHAnsi" w:eastAsiaTheme="minorEastAsia" w:hAnsiTheme="minorHAnsi" w:cstheme="minorBidi"/>
          <w:smallCaps w:val="0"/>
          <w:noProof/>
          <w:sz w:val="22"/>
          <w:szCs w:val="22"/>
          <w:lang w:val="en-US"/>
        </w:rPr>
        <w:tab/>
      </w:r>
      <w:r w:rsidRPr="009C7431">
        <w:rPr>
          <w:noProof/>
          <w:lang w:val="en-US"/>
        </w:rPr>
        <w:t>SPV Simple Pressure Vessel Directive 2009/105/EC</w:t>
      </w:r>
      <w:r>
        <w:rPr>
          <w:noProof/>
        </w:rPr>
        <w:tab/>
      </w:r>
      <w:r>
        <w:rPr>
          <w:noProof/>
        </w:rPr>
        <w:fldChar w:fldCharType="begin"/>
      </w:r>
      <w:r>
        <w:rPr>
          <w:noProof/>
        </w:rPr>
        <w:instrText xml:space="preserve"> PAGEREF _Toc404614866 \h </w:instrText>
      </w:r>
      <w:r>
        <w:rPr>
          <w:noProof/>
        </w:rPr>
      </w:r>
      <w:r>
        <w:rPr>
          <w:noProof/>
        </w:rPr>
        <w:fldChar w:fldCharType="separate"/>
      </w:r>
      <w:r>
        <w:rPr>
          <w:noProof/>
        </w:rPr>
        <w:t>16</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3.15</w:t>
      </w:r>
      <w:r w:rsidRPr="006870BF">
        <w:rPr>
          <w:rFonts w:asciiTheme="minorHAnsi" w:eastAsiaTheme="minorEastAsia" w:hAnsiTheme="minorHAnsi" w:cstheme="minorBidi"/>
          <w:smallCaps w:val="0"/>
          <w:noProof/>
          <w:sz w:val="22"/>
          <w:szCs w:val="22"/>
          <w:lang w:val="en-US"/>
        </w:rPr>
        <w:tab/>
      </w:r>
      <w:r w:rsidRPr="009C7431">
        <w:rPr>
          <w:noProof/>
          <w:lang w:val="en-US"/>
        </w:rPr>
        <w:t>General Product Safety Directive (Directive 2001/95/CE)</w:t>
      </w:r>
      <w:r>
        <w:rPr>
          <w:noProof/>
        </w:rPr>
        <w:tab/>
      </w:r>
      <w:r>
        <w:rPr>
          <w:noProof/>
        </w:rPr>
        <w:fldChar w:fldCharType="begin"/>
      </w:r>
      <w:r>
        <w:rPr>
          <w:noProof/>
        </w:rPr>
        <w:instrText xml:space="preserve"> PAGEREF _Toc404614867 \h </w:instrText>
      </w:r>
      <w:r>
        <w:rPr>
          <w:noProof/>
        </w:rPr>
      </w:r>
      <w:r>
        <w:rPr>
          <w:noProof/>
        </w:rPr>
        <w:fldChar w:fldCharType="separate"/>
      </w:r>
      <w:r>
        <w:rPr>
          <w:noProof/>
        </w:rPr>
        <w:t>16</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6870BF">
        <w:rPr>
          <w:noProof/>
          <w:lang w:val="en-US"/>
        </w:rPr>
        <w:t>3.16</w:t>
      </w:r>
      <w:r w:rsidRPr="006870BF">
        <w:rPr>
          <w:rFonts w:asciiTheme="minorHAnsi" w:eastAsiaTheme="minorEastAsia" w:hAnsiTheme="minorHAnsi" w:cstheme="minorBidi"/>
          <w:smallCaps w:val="0"/>
          <w:noProof/>
          <w:sz w:val="22"/>
          <w:szCs w:val="22"/>
          <w:lang w:val="en-US"/>
        </w:rPr>
        <w:tab/>
      </w:r>
      <w:r w:rsidRPr="006870BF">
        <w:rPr>
          <w:noProof/>
          <w:lang w:val="en-US"/>
        </w:rPr>
        <w:t>Measuring Instruments Directive (MID)</w:t>
      </w:r>
      <w:r>
        <w:rPr>
          <w:noProof/>
        </w:rPr>
        <w:tab/>
      </w:r>
      <w:r>
        <w:rPr>
          <w:noProof/>
        </w:rPr>
        <w:fldChar w:fldCharType="begin"/>
      </w:r>
      <w:r>
        <w:rPr>
          <w:noProof/>
        </w:rPr>
        <w:instrText xml:space="preserve"> PAGEREF _Toc404614868 \h </w:instrText>
      </w:r>
      <w:r>
        <w:rPr>
          <w:noProof/>
        </w:rPr>
      </w:r>
      <w:r>
        <w:rPr>
          <w:noProof/>
        </w:rPr>
        <w:fldChar w:fldCharType="separate"/>
      </w:r>
      <w:r>
        <w:rPr>
          <w:noProof/>
        </w:rPr>
        <w:t>17</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3.17</w:t>
      </w:r>
      <w:r w:rsidRPr="006870BF">
        <w:rPr>
          <w:rFonts w:asciiTheme="minorHAnsi" w:eastAsiaTheme="minorEastAsia" w:hAnsiTheme="minorHAnsi" w:cstheme="minorBidi"/>
          <w:smallCaps w:val="0"/>
          <w:noProof/>
          <w:sz w:val="22"/>
          <w:szCs w:val="22"/>
          <w:lang w:val="en-US"/>
        </w:rPr>
        <w:tab/>
      </w:r>
      <w:r w:rsidRPr="009C7431">
        <w:rPr>
          <w:noProof/>
          <w:lang w:val="en-US"/>
        </w:rPr>
        <w:t>Environmental liability with regard to the prevention and remedying of environmental damage</w:t>
      </w:r>
      <w:r>
        <w:rPr>
          <w:noProof/>
        </w:rPr>
        <w:tab/>
      </w:r>
      <w:r>
        <w:rPr>
          <w:noProof/>
        </w:rPr>
        <w:fldChar w:fldCharType="begin"/>
      </w:r>
      <w:r>
        <w:rPr>
          <w:noProof/>
        </w:rPr>
        <w:instrText xml:space="preserve"> PAGEREF _Toc404614869 \h </w:instrText>
      </w:r>
      <w:r>
        <w:rPr>
          <w:noProof/>
        </w:rPr>
      </w:r>
      <w:r>
        <w:rPr>
          <w:noProof/>
        </w:rPr>
        <w:fldChar w:fldCharType="separate"/>
      </w:r>
      <w:r>
        <w:rPr>
          <w:noProof/>
        </w:rPr>
        <w:t>17</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9C7431">
        <w:rPr>
          <w:noProof/>
          <w:lang w:val="en-US"/>
        </w:rPr>
        <w:t>3.18</w:t>
      </w:r>
      <w:r w:rsidRPr="006870BF">
        <w:rPr>
          <w:rFonts w:asciiTheme="minorHAnsi" w:eastAsiaTheme="minorEastAsia" w:hAnsiTheme="minorHAnsi" w:cstheme="minorBidi"/>
          <w:smallCaps w:val="0"/>
          <w:noProof/>
          <w:sz w:val="22"/>
          <w:szCs w:val="22"/>
          <w:lang w:val="en-US"/>
        </w:rPr>
        <w:tab/>
      </w:r>
      <w:r w:rsidRPr="009C7431">
        <w:rPr>
          <w:noProof/>
          <w:lang w:val="en-US"/>
        </w:rPr>
        <w:t>Energy Performance of Buildings Directive LMS</w:t>
      </w:r>
      <w:r>
        <w:rPr>
          <w:noProof/>
        </w:rPr>
        <w:tab/>
      </w:r>
      <w:r>
        <w:rPr>
          <w:noProof/>
        </w:rPr>
        <w:fldChar w:fldCharType="begin"/>
      </w:r>
      <w:r>
        <w:rPr>
          <w:noProof/>
        </w:rPr>
        <w:instrText xml:space="preserve"> PAGEREF _Toc404614870 \h </w:instrText>
      </w:r>
      <w:r>
        <w:rPr>
          <w:noProof/>
        </w:rPr>
      </w:r>
      <w:r>
        <w:rPr>
          <w:noProof/>
        </w:rPr>
        <w:fldChar w:fldCharType="separate"/>
      </w:r>
      <w:r>
        <w:rPr>
          <w:noProof/>
        </w:rPr>
        <w:t>17</w:t>
      </w:r>
      <w:r>
        <w:rPr>
          <w:noProof/>
        </w:rPr>
        <w:fldChar w:fldCharType="end"/>
      </w:r>
    </w:p>
    <w:p w:rsidR="006870BF" w:rsidRPr="006870BF" w:rsidRDefault="006870BF">
      <w:pPr>
        <w:pStyle w:val="TDC2"/>
        <w:tabs>
          <w:tab w:val="left" w:pos="960"/>
          <w:tab w:val="right" w:leader="dot" w:pos="9629"/>
        </w:tabs>
        <w:rPr>
          <w:rFonts w:asciiTheme="minorHAnsi" w:eastAsiaTheme="minorEastAsia" w:hAnsiTheme="minorHAnsi" w:cstheme="minorBidi"/>
          <w:smallCaps w:val="0"/>
          <w:noProof/>
          <w:sz w:val="22"/>
          <w:szCs w:val="22"/>
          <w:lang w:val="en-US"/>
        </w:rPr>
      </w:pPr>
      <w:r w:rsidRPr="006870BF">
        <w:rPr>
          <w:noProof/>
          <w:lang w:val="en-US"/>
        </w:rPr>
        <w:t>3.19</w:t>
      </w:r>
      <w:r w:rsidRPr="006870BF">
        <w:rPr>
          <w:rFonts w:asciiTheme="minorHAnsi" w:eastAsiaTheme="minorEastAsia" w:hAnsiTheme="minorHAnsi" w:cstheme="minorBidi"/>
          <w:smallCaps w:val="0"/>
          <w:noProof/>
          <w:sz w:val="22"/>
          <w:szCs w:val="22"/>
          <w:lang w:val="en-US"/>
        </w:rPr>
        <w:tab/>
      </w:r>
      <w:r w:rsidRPr="006870BF">
        <w:rPr>
          <w:noProof/>
          <w:lang w:val="en-US"/>
        </w:rPr>
        <w:t>Product Liability Directive MZS</w:t>
      </w:r>
      <w:r>
        <w:rPr>
          <w:noProof/>
        </w:rPr>
        <w:tab/>
      </w:r>
      <w:r>
        <w:rPr>
          <w:noProof/>
        </w:rPr>
        <w:fldChar w:fldCharType="begin"/>
      </w:r>
      <w:r>
        <w:rPr>
          <w:noProof/>
        </w:rPr>
        <w:instrText xml:space="preserve"> PAGEREF _Toc404614871 \h </w:instrText>
      </w:r>
      <w:r>
        <w:rPr>
          <w:noProof/>
        </w:rPr>
      </w:r>
      <w:r>
        <w:rPr>
          <w:noProof/>
        </w:rPr>
        <w:fldChar w:fldCharType="separate"/>
      </w:r>
      <w:r>
        <w:rPr>
          <w:noProof/>
        </w:rPr>
        <w:t>17</w:t>
      </w:r>
      <w:r>
        <w:rPr>
          <w:noProof/>
        </w:rPr>
        <w:fldChar w:fldCharType="end"/>
      </w:r>
    </w:p>
    <w:p w:rsidR="006870BF" w:rsidRP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n-US"/>
        </w:rPr>
      </w:pPr>
      <w:r w:rsidRPr="009C7431">
        <w:rPr>
          <w:noProof/>
          <w:lang w:val="en-US"/>
        </w:rPr>
        <w:lastRenderedPageBreak/>
        <w:t>4.</w:t>
      </w:r>
      <w:r w:rsidRPr="006870BF">
        <w:rPr>
          <w:rFonts w:asciiTheme="minorHAnsi" w:eastAsiaTheme="minorEastAsia" w:hAnsiTheme="minorHAnsi" w:cstheme="minorBidi"/>
          <w:b w:val="0"/>
          <w:caps w:val="0"/>
          <w:noProof/>
          <w:sz w:val="22"/>
          <w:szCs w:val="22"/>
          <w:lang w:val="en-US"/>
        </w:rPr>
        <w:tab/>
      </w:r>
      <w:r w:rsidRPr="009C7431">
        <w:rPr>
          <w:noProof/>
          <w:lang w:val="en-US"/>
        </w:rPr>
        <w:t>NLF AND THE “BLUE GUIDE”</w:t>
      </w:r>
      <w:r>
        <w:rPr>
          <w:noProof/>
        </w:rPr>
        <w:tab/>
      </w:r>
      <w:r>
        <w:rPr>
          <w:noProof/>
        </w:rPr>
        <w:fldChar w:fldCharType="begin"/>
      </w:r>
      <w:r>
        <w:rPr>
          <w:noProof/>
        </w:rPr>
        <w:instrText xml:space="preserve"> PAGEREF _Toc404614872 \h </w:instrText>
      </w:r>
      <w:r>
        <w:rPr>
          <w:noProof/>
        </w:rPr>
      </w:r>
      <w:r>
        <w:rPr>
          <w:noProof/>
        </w:rPr>
        <w:fldChar w:fldCharType="separate"/>
      </w:r>
      <w:r>
        <w:rPr>
          <w:noProof/>
        </w:rPr>
        <w:t>20</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4.1</w:t>
      </w:r>
      <w:r w:rsidRPr="006870BF">
        <w:rPr>
          <w:rFonts w:asciiTheme="minorHAnsi" w:eastAsiaTheme="minorEastAsia" w:hAnsiTheme="minorHAnsi" w:cstheme="minorBidi"/>
          <w:smallCaps w:val="0"/>
          <w:noProof/>
          <w:sz w:val="22"/>
          <w:szCs w:val="22"/>
          <w:lang w:val="en-US"/>
        </w:rPr>
        <w:tab/>
      </w:r>
      <w:r w:rsidRPr="009C7431">
        <w:rPr>
          <w:noProof/>
          <w:lang w:val="en-US"/>
        </w:rPr>
        <w:t>NLF - New Legislative Framework</w:t>
      </w:r>
      <w:r>
        <w:rPr>
          <w:noProof/>
        </w:rPr>
        <w:tab/>
      </w:r>
      <w:r>
        <w:rPr>
          <w:noProof/>
        </w:rPr>
        <w:fldChar w:fldCharType="begin"/>
      </w:r>
      <w:r>
        <w:rPr>
          <w:noProof/>
        </w:rPr>
        <w:instrText xml:space="preserve"> PAGEREF _Toc404614873 \h </w:instrText>
      </w:r>
      <w:r>
        <w:rPr>
          <w:noProof/>
        </w:rPr>
      </w:r>
      <w:r>
        <w:rPr>
          <w:noProof/>
        </w:rPr>
        <w:fldChar w:fldCharType="separate"/>
      </w:r>
      <w:r>
        <w:rPr>
          <w:noProof/>
        </w:rPr>
        <w:t>20</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4.2</w:t>
      </w:r>
      <w:r w:rsidRPr="006870BF">
        <w:rPr>
          <w:rFonts w:asciiTheme="minorHAnsi" w:eastAsiaTheme="minorEastAsia" w:hAnsiTheme="minorHAnsi" w:cstheme="minorBidi"/>
          <w:smallCaps w:val="0"/>
          <w:noProof/>
          <w:sz w:val="22"/>
          <w:szCs w:val="22"/>
          <w:lang w:val="en-US"/>
        </w:rPr>
        <w:tab/>
      </w:r>
      <w:r w:rsidRPr="009C7431">
        <w:rPr>
          <w:noProof/>
          <w:lang w:val="en-US"/>
        </w:rPr>
        <w:t>The “Blue Guide”</w:t>
      </w:r>
      <w:r>
        <w:rPr>
          <w:noProof/>
        </w:rPr>
        <w:tab/>
      </w:r>
      <w:r>
        <w:rPr>
          <w:noProof/>
        </w:rPr>
        <w:fldChar w:fldCharType="begin"/>
      </w:r>
      <w:r>
        <w:rPr>
          <w:noProof/>
        </w:rPr>
        <w:instrText xml:space="preserve"> PAGEREF _Toc404614874 \h </w:instrText>
      </w:r>
      <w:r>
        <w:rPr>
          <w:noProof/>
        </w:rPr>
      </w:r>
      <w:r>
        <w:rPr>
          <w:noProof/>
        </w:rPr>
        <w:fldChar w:fldCharType="separate"/>
      </w:r>
      <w:r>
        <w:rPr>
          <w:noProof/>
        </w:rPr>
        <w:t>21</w:t>
      </w:r>
      <w:r>
        <w:rPr>
          <w:noProof/>
        </w:rPr>
        <w:fldChar w:fldCharType="end"/>
      </w:r>
    </w:p>
    <w:p w:rsid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s-ES"/>
        </w:rPr>
      </w:pPr>
      <w:r w:rsidRPr="009C7431">
        <w:rPr>
          <w:noProof/>
          <w:lang w:val="es-ES"/>
        </w:rPr>
        <w:t>5.</w:t>
      </w:r>
      <w:r>
        <w:rPr>
          <w:rFonts w:asciiTheme="minorHAnsi" w:eastAsiaTheme="minorEastAsia" w:hAnsiTheme="minorHAnsi" w:cstheme="minorBidi"/>
          <w:b w:val="0"/>
          <w:caps w:val="0"/>
          <w:noProof/>
          <w:sz w:val="22"/>
          <w:szCs w:val="22"/>
          <w:lang w:val="es-ES"/>
        </w:rPr>
        <w:tab/>
      </w:r>
      <w:r w:rsidRPr="009C7431">
        <w:rPr>
          <w:noProof/>
          <w:lang w:val="es-ES"/>
        </w:rPr>
        <w:t>OTRAS DIRECTIVAS DE INTERÉS (PENDIENTES DE ANÁLISIS)</w:t>
      </w:r>
      <w:r w:rsidRPr="006870BF">
        <w:rPr>
          <w:noProof/>
          <w:lang w:val="es-ES"/>
        </w:rPr>
        <w:tab/>
      </w:r>
      <w:r>
        <w:rPr>
          <w:noProof/>
        </w:rPr>
        <w:fldChar w:fldCharType="begin"/>
      </w:r>
      <w:r w:rsidRPr="006870BF">
        <w:rPr>
          <w:noProof/>
          <w:lang w:val="es-ES"/>
        </w:rPr>
        <w:instrText xml:space="preserve"> PAGEREF _Toc404614875 \h </w:instrText>
      </w:r>
      <w:r>
        <w:rPr>
          <w:noProof/>
        </w:rPr>
      </w:r>
      <w:r>
        <w:rPr>
          <w:noProof/>
        </w:rPr>
        <w:fldChar w:fldCharType="separate"/>
      </w:r>
      <w:r w:rsidRPr="006870BF">
        <w:rPr>
          <w:noProof/>
          <w:lang w:val="es-ES"/>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5.1</w:t>
      </w:r>
      <w:r w:rsidRPr="006870BF">
        <w:rPr>
          <w:rFonts w:asciiTheme="minorHAnsi" w:eastAsiaTheme="minorEastAsia" w:hAnsiTheme="minorHAnsi" w:cstheme="minorBidi"/>
          <w:smallCaps w:val="0"/>
          <w:noProof/>
          <w:sz w:val="22"/>
          <w:szCs w:val="22"/>
          <w:lang w:val="en-US"/>
        </w:rPr>
        <w:tab/>
      </w:r>
      <w:r w:rsidRPr="009C7431">
        <w:rPr>
          <w:noProof/>
          <w:lang w:val="en-US"/>
        </w:rPr>
        <w:t>Eco-label award scheme regulation</w:t>
      </w:r>
      <w:r>
        <w:rPr>
          <w:noProof/>
        </w:rPr>
        <w:tab/>
      </w:r>
      <w:r>
        <w:rPr>
          <w:noProof/>
        </w:rPr>
        <w:fldChar w:fldCharType="begin"/>
      </w:r>
      <w:r>
        <w:rPr>
          <w:noProof/>
        </w:rPr>
        <w:instrText xml:space="preserve"> PAGEREF _Toc404614876 \h </w:instrText>
      </w:r>
      <w:r>
        <w:rPr>
          <w:noProof/>
        </w:rPr>
      </w:r>
      <w:r>
        <w:rPr>
          <w:noProof/>
        </w:rPr>
        <w:fldChar w:fldCharType="separate"/>
      </w:r>
      <w:r>
        <w:rPr>
          <w:noProof/>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5.2</w:t>
      </w:r>
      <w:r w:rsidRPr="006870BF">
        <w:rPr>
          <w:rFonts w:asciiTheme="minorHAnsi" w:eastAsiaTheme="minorEastAsia" w:hAnsiTheme="minorHAnsi" w:cstheme="minorBidi"/>
          <w:smallCaps w:val="0"/>
          <w:noProof/>
          <w:sz w:val="22"/>
          <w:szCs w:val="22"/>
          <w:lang w:val="en-US"/>
        </w:rPr>
        <w:tab/>
      </w:r>
      <w:r w:rsidRPr="009C7431">
        <w:rPr>
          <w:noProof/>
          <w:lang w:val="en-US"/>
        </w:rPr>
        <w:t>Eco-management and audit scheme regulation</w:t>
      </w:r>
      <w:r>
        <w:rPr>
          <w:noProof/>
        </w:rPr>
        <w:tab/>
      </w:r>
      <w:r>
        <w:rPr>
          <w:noProof/>
        </w:rPr>
        <w:fldChar w:fldCharType="begin"/>
      </w:r>
      <w:r>
        <w:rPr>
          <w:noProof/>
        </w:rPr>
        <w:instrText xml:space="preserve"> PAGEREF _Toc404614877 \h </w:instrText>
      </w:r>
      <w:r>
        <w:rPr>
          <w:noProof/>
        </w:rPr>
      </w:r>
      <w:r>
        <w:rPr>
          <w:noProof/>
        </w:rPr>
        <w:fldChar w:fldCharType="separate"/>
      </w:r>
      <w:r>
        <w:rPr>
          <w:noProof/>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6870BF">
        <w:rPr>
          <w:noProof/>
          <w:lang w:val="en-US"/>
        </w:rPr>
        <w:t>5.3</w:t>
      </w:r>
      <w:r w:rsidRPr="006870BF">
        <w:rPr>
          <w:rFonts w:asciiTheme="minorHAnsi" w:eastAsiaTheme="minorEastAsia" w:hAnsiTheme="minorHAnsi" w:cstheme="minorBidi"/>
          <w:smallCaps w:val="0"/>
          <w:noProof/>
          <w:sz w:val="22"/>
          <w:szCs w:val="22"/>
          <w:lang w:val="en-US"/>
        </w:rPr>
        <w:tab/>
      </w:r>
      <w:r w:rsidRPr="006870BF">
        <w:rPr>
          <w:noProof/>
          <w:lang w:val="en-US"/>
        </w:rPr>
        <w:t>Emission Trading Scheme</w:t>
      </w:r>
      <w:r>
        <w:rPr>
          <w:noProof/>
        </w:rPr>
        <w:tab/>
      </w:r>
      <w:r>
        <w:rPr>
          <w:noProof/>
        </w:rPr>
        <w:fldChar w:fldCharType="begin"/>
      </w:r>
      <w:r>
        <w:rPr>
          <w:noProof/>
        </w:rPr>
        <w:instrText xml:space="preserve"> PAGEREF _Toc404614878 \h </w:instrText>
      </w:r>
      <w:r>
        <w:rPr>
          <w:noProof/>
        </w:rPr>
      </w:r>
      <w:r>
        <w:rPr>
          <w:noProof/>
        </w:rPr>
        <w:fldChar w:fldCharType="separate"/>
      </w:r>
      <w:r>
        <w:rPr>
          <w:noProof/>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5.4</w:t>
      </w:r>
      <w:r w:rsidRPr="006870BF">
        <w:rPr>
          <w:rFonts w:asciiTheme="minorHAnsi" w:eastAsiaTheme="minorEastAsia" w:hAnsiTheme="minorHAnsi" w:cstheme="minorBidi"/>
          <w:smallCaps w:val="0"/>
          <w:noProof/>
          <w:sz w:val="22"/>
          <w:szCs w:val="22"/>
          <w:lang w:val="en-US"/>
        </w:rPr>
        <w:tab/>
      </w:r>
      <w:r w:rsidRPr="009C7431">
        <w:rPr>
          <w:noProof/>
          <w:lang w:val="en-US"/>
        </w:rPr>
        <w:t>Exposure to artificial optical radiation</w:t>
      </w:r>
      <w:r>
        <w:rPr>
          <w:noProof/>
        </w:rPr>
        <w:tab/>
      </w:r>
      <w:r>
        <w:rPr>
          <w:noProof/>
        </w:rPr>
        <w:fldChar w:fldCharType="begin"/>
      </w:r>
      <w:r>
        <w:rPr>
          <w:noProof/>
        </w:rPr>
        <w:instrText xml:space="preserve"> PAGEREF _Toc404614879 \h </w:instrText>
      </w:r>
      <w:r>
        <w:rPr>
          <w:noProof/>
        </w:rPr>
      </w:r>
      <w:r>
        <w:rPr>
          <w:noProof/>
        </w:rPr>
        <w:fldChar w:fldCharType="separate"/>
      </w:r>
      <w:r>
        <w:rPr>
          <w:noProof/>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6870BF">
        <w:rPr>
          <w:noProof/>
          <w:lang w:val="en-US"/>
        </w:rPr>
        <w:t>5.5</w:t>
      </w:r>
      <w:r w:rsidRPr="006870BF">
        <w:rPr>
          <w:rFonts w:asciiTheme="minorHAnsi" w:eastAsiaTheme="minorEastAsia" w:hAnsiTheme="minorHAnsi" w:cstheme="minorBidi"/>
          <w:smallCaps w:val="0"/>
          <w:noProof/>
          <w:sz w:val="22"/>
          <w:szCs w:val="22"/>
          <w:lang w:val="en-US"/>
        </w:rPr>
        <w:tab/>
      </w:r>
      <w:r w:rsidRPr="006870BF">
        <w:rPr>
          <w:noProof/>
          <w:lang w:val="en-US"/>
        </w:rPr>
        <w:t>Gas Appliances Directive</w:t>
      </w:r>
      <w:r>
        <w:rPr>
          <w:noProof/>
        </w:rPr>
        <w:tab/>
      </w:r>
      <w:r>
        <w:rPr>
          <w:noProof/>
        </w:rPr>
        <w:fldChar w:fldCharType="begin"/>
      </w:r>
      <w:r>
        <w:rPr>
          <w:noProof/>
        </w:rPr>
        <w:instrText xml:space="preserve"> PAGEREF _Toc404614880 \h </w:instrText>
      </w:r>
      <w:r>
        <w:rPr>
          <w:noProof/>
        </w:rPr>
      </w:r>
      <w:r>
        <w:rPr>
          <w:noProof/>
        </w:rPr>
        <w:fldChar w:fldCharType="separate"/>
      </w:r>
      <w:r>
        <w:rPr>
          <w:noProof/>
        </w:rPr>
        <w:t>22</w:t>
      </w:r>
      <w:r>
        <w:rPr>
          <w:noProof/>
        </w:rPr>
        <w:fldChar w:fldCharType="end"/>
      </w:r>
    </w:p>
    <w:p w:rsidR="006870BF" w:rsidRP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n-US"/>
        </w:rPr>
      </w:pPr>
      <w:r w:rsidRPr="009C7431">
        <w:rPr>
          <w:noProof/>
          <w:lang w:val="en-US"/>
        </w:rPr>
        <w:t>5.6</w:t>
      </w:r>
      <w:r w:rsidRPr="006870BF">
        <w:rPr>
          <w:rFonts w:asciiTheme="minorHAnsi" w:eastAsiaTheme="minorEastAsia" w:hAnsiTheme="minorHAnsi" w:cstheme="minorBidi"/>
          <w:smallCaps w:val="0"/>
          <w:noProof/>
          <w:sz w:val="22"/>
          <w:szCs w:val="22"/>
          <w:lang w:val="en-US"/>
        </w:rPr>
        <w:tab/>
      </w:r>
      <w:r w:rsidRPr="009C7431">
        <w:rPr>
          <w:noProof/>
          <w:lang w:val="en-US"/>
        </w:rPr>
        <w:t>Promotion of the use of energy from renewable sources</w:t>
      </w:r>
      <w:r>
        <w:rPr>
          <w:noProof/>
        </w:rPr>
        <w:tab/>
      </w:r>
      <w:r>
        <w:rPr>
          <w:noProof/>
        </w:rPr>
        <w:fldChar w:fldCharType="begin"/>
      </w:r>
      <w:r>
        <w:rPr>
          <w:noProof/>
        </w:rPr>
        <w:instrText xml:space="preserve"> PAGEREF _Toc404614881 \h </w:instrText>
      </w:r>
      <w:r>
        <w:rPr>
          <w:noProof/>
        </w:rPr>
      </w:r>
      <w:r>
        <w:rPr>
          <w:noProof/>
        </w:rPr>
        <w:fldChar w:fldCharType="separate"/>
      </w:r>
      <w:r>
        <w:rPr>
          <w:noProof/>
        </w:rPr>
        <w:t>22</w:t>
      </w:r>
      <w:r>
        <w:rPr>
          <w:noProof/>
        </w:rPr>
        <w:fldChar w:fldCharType="end"/>
      </w:r>
    </w:p>
    <w:p w:rsidR="006870BF" w:rsidRDefault="006870BF">
      <w:pPr>
        <w:pStyle w:val="TDC2"/>
        <w:tabs>
          <w:tab w:val="left" w:pos="720"/>
          <w:tab w:val="right" w:leader="dot" w:pos="9629"/>
        </w:tabs>
        <w:rPr>
          <w:rFonts w:asciiTheme="minorHAnsi" w:eastAsiaTheme="minorEastAsia" w:hAnsiTheme="minorHAnsi" w:cstheme="minorBidi"/>
          <w:smallCaps w:val="0"/>
          <w:noProof/>
          <w:sz w:val="22"/>
          <w:szCs w:val="22"/>
          <w:lang w:val="es-ES"/>
        </w:rPr>
      </w:pPr>
      <w:r w:rsidRPr="009C7431">
        <w:rPr>
          <w:noProof/>
          <w:lang w:val="es-ES"/>
        </w:rPr>
        <w:t>5.7</w:t>
      </w:r>
      <w:r>
        <w:rPr>
          <w:rFonts w:asciiTheme="minorHAnsi" w:eastAsiaTheme="minorEastAsia" w:hAnsiTheme="minorHAnsi" w:cstheme="minorBidi"/>
          <w:smallCaps w:val="0"/>
          <w:noProof/>
          <w:sz w:val="22"/>
          <w:szCs w:val="22"/>
          <w:lang w:val="es-ES"/>
        </w:rPr>
        <w:tab/>
      </w:r>
      <w:r w:rsidRPr="009C7431">
        <w:rPr>
          <w:noProof/>
          <w:lang w:val="es-ES"/>
        </w:rPr>
        <w:t>Energy Roadmap 2050</w:t>
      </w:r>
      <w:r w:rsidRPr="006870BF">
        <w:rPr>
          <w:noProof/>
          <w:lang w:val="es-ES"/>
        </w:rPr>
        <w:tab/>
      </w:r>
      <w:r>
        <w:rPr>
          <w:noProof/>
        </w:rPr>
        <w:fldChar w:fldCharType="begin"/>
      </w:r>
      <w:r w:rsidRPr="006870BF">
        <w:rPr>
          <w:noProof/>
          <w:lang w:val="es-ES"/>
        </w:rPr>
        <w:instrText xml:space="preserve"> PAGEREF _Toc404614882 \h </w:instrText>
      </w:r>
      <w:r>
        <w:rPr>
          <w:noProof/>
        </w:rPr>
      </w:r>
      <w:r>
        <w:rPr>
          <w:noProof/>
        </w:rPr>
        <w:fldChar w:fldCharType="separate"/>
      </w:r>
      <w:r w:rsidRPr="006870BF">
        <w:rPr>
          <w:noProof/>
          <w:lang w:val="es-ES"/>
        </w:rPr>
        <w:t>22</w:t>
      </w:r>
      <w:r>
        <w:rPr>
          <w:noProof/>
        </w:rPr>
        <w:fldChar w:fldCharType="end"/>
      </w:r>
    </w:p>
    <w:p w:rsid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s-ES"/>
        </w:rPr>
      </w:pPr>
      <w:r w:rsidRPr="009C7431">
        <w:rPr>
          <w:noProof/>
          <w:lang w:val="es-ES"/>
        </w:rPr>
        <w:t>6.</w:t>
      </w:r>
      <w:r>
        <w:rPr>
          <w:rFonts w:asciiTheme="minorHAnsi" w:eastAsiaTheme="minorEastAsia" w:hAnsiTheme="minorHAnsi" w:cstheme="minorBidi"/>
          <w:b w:val="0"/>
          <w:caps w:val="0"/>
          <w:noProof/>
          <w:sz w:val="22"/>
          <w:szCs w:val="22"/>
          <w:lang w:val="es-ES"/>
        </w:rPr>
        <w:tab/>
      </w:r>
      <w:r w:rsidRPr="009C7431">
        <w:rPr>
          <w:noProof/>
          <w:lang w:val="es-ES"/>
        </w:rPr>
        <w:t>Lista completa de directivas analizadas por el grupo de trabajo</w:t>
      </w:r>
      <w:r w:rsidRPr="006870BF">
        <w:rPr>
          <w:noProof/>
          <w:lang w:val="es-ES"/>
        </w:rPr>
        <w:tab/>
      </w:r>
      <w:r>
        <w:rPr>
          <w:noProof/>
        </w:rPr>
        <w:fldChar w:fldCharType="begin"/>
      </w:r>
      <w:r w:rsidRPr="006870BF">
        <w:rPr>
          <w:noProof/>
          <w:lang w:val="es-ES"/>
        </w:rPr>
        <w:instrText xml:space="preserve"> PAGEREF _Toc404614883 \h </w:instrText>
      </w:r>
      <w:r>
        <w:rPr>
          <w:noProof/>
        </w:rPr>
      </w:r>
      <w:r>
        <w:rPr>
          <w:noProof/>
        </w:rPr>
        <w:fldChar w:fldCharType="separate"/>
      </w:r>
      <w:r w:rsidRPr="006870BF">
        <w:rPr>
          <w:noProof/>
          <w:lang w:val="es-ES"/>
        </w:rPr>
        <w:t>1</w:t>
      </w:r>
      <w:r>
        <w:rPr>
          <w:noProof/>
        </w:rPr>
        <w:fldChar w:fldCharType="end"/>
      </w:r>
    </w:p>
    <w:p w:rsidR="006870BF" w:rsidRDefault="006870BF">
      <w:pPr>
        <w:pStyle w:val="TDC1"/>
        <w:tabs>
          <w:tab w:val="left" w:pos="480"/>
          <w:tab w:val="right" w:leader="dot" w:pos="9629"/>
        </w:tabs>
        <w:rPr>
          <w:rFonts w:asciiTheme="minorHAnsi" w:eastAsiaTheme="minorEastAsia" w:hAnsiTheme="minorHAnsi" w:cstheme="minorBidi"/>
          <w:b w:val="0"/>
          <w:caps w:val="0"/>
          <w:noProof/>
          <w:sz w:val="22"/>
          <w:szCs w:val="22"/>
          <w:lang w:val="es-ES"/>
        </w:rPr>
      </w:pPr>
      <w:r w:rsidRPr="009C7431">
        <w:rPr>
          <w:noProof/>
          <w:lang w:val="es-ES"/>
        </w:rPr>
        <w:t>7.</w:t>
      </w:r>
      <w:r>
        <w:rPr>
          <w:rFonts w:asciiTheme="minorHAnsi" w:eastAsiaTheme="minorEastAsia" w:hAnsiTheme="minorHAnsi" w:cstheme="minorBidi"/>
          <w:b w:val="0"/>
          <w:caps w:val="0"/>
          <w:noProof/>
          <w:sz w:val="22"/>
          <w:szCs w:val="22"/>
          <w:lang w:val="es-ES"/>
        </w:rPr>
        <w:tab/>
      </w:r>
      <w:r w:rsidRPr="009C7431">
        <w:rPr>
          <w:noProof/>
          <w:lang w:val="es-ES"/>
        </w:rPr>
        <w:t>Enlaces de interés</w:t>
      </w:r>
      <w:r>
        <w:rPr>
          <w:noProof/>
        </w:rPr>
        <w:tab/>
      </w:r>
      <w:r>
        <w:rPr>
          <w:noProof/>
        </w:rPr>
        <w:fldChar w:fldCharType="begin"/>
      </w:r>
      <w:r>
        <w:rPr>
          <w:noProof/>
        </w:rPr>
        <w:instrText xml:space="preserve"> PAGEREF _Toc404614884 \h </w:instrText>
      </w:r>
      <w:r>
        <w:rPr>
          <w:noProof/>
        </w:rPr>
      </w:r>
      <w:r>
        <w:rPr>
          <w:noProof/>
        </w:rPr>
        <w:fldChar w:fldCharType="separate"/>
      </w:r>
      <w:r>
        <w:rPr>
          <w:noProof/>
        </w:rPr>
        <w:t>1</w:t>
      </w:r>
      <w:r>
        <w:rPr>
          <w:noProof/>
        </w:rPr>
        <w:fldChar w:fldCharType="end"/>
      </w:r>
    </w:p>
    <w:p w:rsidR="00BF42F0" w:rsidRPr="006F4627" w:rsidRDefault="00127462">
      <w:pPr>
        <w:jc w:val="both"/>
        <w:rPr>
          <w:b/>
          <w:u w:val="single"/>
          <w:lang w:val="es-ES"/>
        </w:rPr>
        <w:sectPr w:rsidR="00BF42F0" w:rsidRPr="006F4627" w:rsidSect="00071A9E">
          <w:headerReference w:type="default" r:id="rId12"/>
          <w:footerReference w:type="default" r:id="rId13"/>
          <w:headerReference w:type="first" r:id="rId14"/>
          <w:pgSz w:w="11907" w:h="16840" w:code="9"/>
          <w:pgMar w:top="1134" w:right="1134" w:bottom="1134" w:left="1134" w:header="851" w:footer="851" w:gutter="0"/>
          <w:pgNumType w:start="1"/>
          <w:cols w:space="720"/>
          <w:docGrid w:linePitch="272"/>
        </w:sectPr>
      </w:pPr>
      <w:r>
        <w:rPr>
          <w:b/>
          <w:caps/>
        </w:rPr>
        <w:fldChar w:fldCharType="end"/>
      </w:r>
    </w:p>
    <w:p w:rsidR="00297FA0" w:rsidRDefault="00297FA0" w:rsidP="00297FA0">
      <w:pPr>
        <w:pStyle w:val="Ttulo1"/>
        <w:tabs>
          <w:tab w:val="clear" w:pos="360"/>
          <w:tab w:val="num" w:pos="432"/>
        </w:tabs>
        <w:spacing w:after="360" w:line="240" w:lineRule="atLeast"/>
        <w:ind w:left="432" w:hanging="432"/>
        <w:jc w:val="both"/>
      </w:pPr>
      <w:bookmarkStart w:id="1" w:name="_Toc298848110"/>
      <w:bookmarkStart w:id="2" w:name="_Toc404614842"/>
      <w:r w:rsidRPr="00124A82">
        <w:lastRenderedPageBreak/>
        <w:t>ASIGNACIÓN DE RESPONSABILIDADES</w:t>
      </w:r>
      <w:bookmarkEnd w:id="1"/>
      <w:bookmarkEnd w:id="2"/>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5"/>
        <w:gridCol w:w="885"/>
        <w:gridCol w:w="6480"/>
      </w:tblGrid>
      <w:tr w:rsidR="00891E4F" w:rsidRPr="00071A9E" w:rsidTr="00FE4F41">
        <w:trPr>
          <w:trHeight w:val="20"/>
          <w:tblHeader/>
          <w:jc w:val="center"/>
        </w:trPr>
        <w:tc>
          <w:tcPr>
            <w:tcW w:w="1855" w:type="dxa"/>
            <w:shd w:val="clear" w:color="auto" w:fill="365F91" w:themeFill="accent1" w:themeFillShade="BF"/>
            <w:vAlign w:val="center"/>
            <w:hideMark/>
          </w:tcPr>
          <w:p w:rsidR="00071A9E" w:rsidRPr="0059173C" w:rsidRDefault="00891E4F" w:rsidP="00071A9E">
            <w:pPr>
              <w:jc w:val="center"/>
              <w:rPr>
                <w:rFonts w:cs="Arial"/>
                <w:b/>
                <w:color w:val="FFFFFF" w:themeColor="background1"/>
                <w:lang w:val="es-ES"/>
              </w:rPr>
            </w:pPr>
            <w:r w:rsidRPr="0059173C">
              <w:rPr>
                <w:rFonts w:cs="Arial"/>
                <w:b/>
                <w:color w:val="FFFFFF" w:themeColor="background1"/>
                <w:lang w:val="es-ES"/>
              </w:rPr>
              <w:t>ANALIZADA POR</w:t>
            </w:r>
          </w:p>
        </w:tc>
        <w:tc>
          <w:tcPr>
            <w:tcW w:w="885" w:type="dxa"/>
            <w:shd w:val="clear" w:color="auto" w:fill="365F91" w:themeFill="accent1" w:themeFillShade="BF"/>
            <w:vAlign w:val="center"/>
            <w:hideMark/>
          </w:tcPr>
          <w:p w:rsidR="00891E4F" w:rsidRPr="0059173C" w:rsidRDefault="00891E4F" w:rsidP="00B95C39">
            <w:pPr>
              <w:jc w:val="center"/>
              <w:rPr>
                <w:rFonts w:cs="Arial"/>
                <w:b/>
                <w:color w:val="FFFFFF" w:themeColor="background1"/>
                <w:lang w:val="es-ES"/>
              </w:rPr>
            </w:pPr>
            <w:r w:rsidRPr="0059173C">
              <w:rPr>
                <w:rFonts w:cs="Arial"/>
                <w:b/>
                <w:color w:val="FFFFFF" w:themeColor="background1"/>
                <w:lang w:val="es-ES"/>
              </w:rPr>
              <w:t>SIGLAS</w:t>
            </w:r>
          </w:p>
        </w:tc>
        <w:tc>
          <w:tcPr>
            <w:tcW w:w="6480" w:type="dxa"/>
            <w:shd w:val="clear" w:color="auto" w:fill="365F91" w:themeFill="accent1" w:themeFillShade="BF"/>
            <w:vAlign w:val="center"/>
            <w:hideMark/>
          </w:tcPr>
          <w:p w:rsidR="00891E4F" w:rsidRPr="0059173C" w:rsidRDefault="00891E4F" w:rsidP="00B95C39">
            <w:pPr>
              <w:jc w:val="center"/>
              <w:rPr>
                <w:rFonts w:cs="Arial"/>
                <w:b/>
                <w:color w:val="FFFFFF" w:themeColor="background1"/>
                <w:lang w:val="es-ES"/>
              </w:rPr>
            </w:pPr>
            <w:r w:rsidRPr="0059173C">
              <w:rPr>
                <w:rFonts w:cs="Arial"/>
                <w:b/>
                <w:color w:val="FFFFFF" w:themeColor="background1"/>
                <w:lang w:val="es-ES"/>
              </w:rPr>
              <w:t>NOMBRE</w:t>
            </w:r>
          </w:p>
        </w:tc>
      </w:tr>
      <w:tr w:rsidR="00891E4F" w:rsidRPr="00B95C39" w:rsidTr="00FE4F41">
        <w:trPr>
          <w:trHeight w:val="20"/>
          <w:tblHeader/>
          <w:jc w:val="center"/>
        </w:trPr>
        <w:tc>
          <w:tcPr>
            <w:tcW w:w="1855" w:type="dxa"/>
            <w:shd w:val="clear" w:color="auto" w:fill="auto"/>
            <w:vAlign w:val="center"/>
            <w:hideMark/>
          </w:tcPr>
          <w:p w:rsidR="00C55D18" w:rsidRPr="005311FC" w:rsidRDefault="00C55D18" w:rsidP="00B95C39">
            <w:pPr>
              <w:jc w:val="center"/>
              <w:rPr>
                <w:rFonts w:cs="Arial"/>
                <w:lang w:val="es-ES"/>
              </w:rPr>
            </w:pPr>
            <w:r w:rsidRPr="005311FC">
              <w:rPr>
                <w:rFonts w:cs="Arial"/>
                <w:lang w:val="es-ES"/>
              </w:rPr>
              <w:t>AENOR</w:t>
            </w:r>
          </w:p>
          <w:p w:rsidR="00C55D18" w:rsidRPr="005311FC" w:rsidRDefault="00891E4F" w:rsidP="00B95C39">
            <w:pPr>
              <w:jc w:val="center"/>
              <w:rPr>
                <w:rFonts w:cs="Arial"/>
                <w:lang w:val="es-ES"/>
              </w:rPr>
            </w:pPr>
            <w:r w:rsidRPr="005311FC">
              <w:rPr>
                <w:rFonts w:cs="Arial"/>
                <w:lang w:val="es-ES"/>
              </w:rPr>
              <w:t>Ana Mariblanca</w:t>
            </w:r>
          </w:p>
          <w:p w:rsidR="00891E4F" w:rsidRPr="005311FC" w:rsidRDefault="00891E4F" w:rsidP="00B95C39">
            <w:pPr>
              <w:jc w:val="center"/>
              <w:rPr>
                <w:rFonts w:cs="Arial"/>
                <w:lang w:val="es-ES"/>
              </w:rPr>
            </w:pPr>
            <w:r w:rsidRPr="005311FC">
              <w:rPr>
                <w:rFonts w:cs="Arial"/>
                <w:lang w:val="es-ES"/>
              </w:rPr>
              <w:t>(AM)</w:t>
            </w:r>
          </w:p>
        </w:tc>
        <w:tc>
          <w:tcPr>
            <w:tcW w:w="885" w:type="dxa"/>
            <w:shd w:val="clear" w:color="auto" w:fill="auto"/>
            <w:vAlign w:val="center"/>
            <w:hideMark/>
          </w:tcPr>
          <w:p w:rsidR="00891E4F" w:rsidRPr="005311FC" w:rsidRDefault="00891E4F" w:rsidP="00B95C39">
            <w:pPr>
              <w:jc w:val="center"/>
              <w:rPr>
                <w:rFonts w:cs="Arial"/>
                <w:lang w:val="es-ES"/>
              </w:rPr>
            </w:pPr>
          </w:p>
        </w:tc>
        <w:tc>
          <w:tcPr>
            <w:tcW w:w="6480" w:type="dxa"/>
            <w:shd w:val="clear" w:color="auto" w:fill="auto"/>
            <w:vAlign w:val="center"/>
            <w:hideMark/>
          </w:tcPr>
          <w:p w:rsidR="00891E4F" w:rsidRPr="001A396A" w:rsidRDefault="001A396A" w:rsidP="00B95C39">
            <w:pPr>
              <w:rPr>
                <w:rFonts w:cs="Arial"/>
                <w:lang w:val="en-US"/>
              </w:rPr>
            </w:pPr>
            <w:r>
              <w:rPr>
                <w:rFonts w:cs="Arial"/>
                <w:lang w:val="en-US"/>
              </w:rPr>
              <w:t>E</w:t>
            </w:r>
            <w:r w:rsidRPr="001A396A">
              <w:rPr>
                <w:rFonts w:cs="Arial"/>
                <w:lang w:val="en-US"/>
              </w:rPr>
              <w:t>nvironmental liability with regard to the prevention and remedying of environmental damage</w:t>
            </w:r>
          </w:p>
        </w:tc>
      </w:tr>
      <w:tr w:rsidR="00891E4F" w:rsidRPr="00B95C39" w:rsidTr="00FE4F41">
        <w:trPr>
          <w:trHeight w:val="20"/>
          <w:tblHeader/>
          <w:jc w:val="center"/>
        </w:trPr>
        <w:tc>
          <w:tcPr>
            <w:tcW w:w="1855" w:type="dxa"/>
            <w:vMerge w:val="restart"/>
            <w:shd w:val="clear" w:color="auto" w:fill="auto"/>
            <w:vAlign w:val="center"/>
            <w:hideMark/>
          </w:tcPr>
          <w:p w:rsidR="00C55D18" w:rsidRPr="005311FC" w:rsidRDefault="00891E4F" w:rsidP="00871795">
            <w:pPr>
              <w:jc w:val="center"/>
              <w:rPr>
                <w:rFonts w:cs="Arial"/>
                <w:lang w:val="en-US"/>
              </w:rPr>
            </w:pPr>
            <w:r w:rsidRPr="005311FC">
              <w:rPr>
                <w:rFonts w:cs="Arial"/>
                <w:lang w:val="en-US"/>
              </w:rPr>
              <w:t>AFBEL</w:t>
            </w:r>
          </w:p>
          <w:p w:rsidR="00C55D18" w:rsidRPr="005311FC" w:rsidRDefault="00871795" w:rsidP="00871795">
            <w:pPr>
              <w:jc w:val="center"/>
              <w:rPr>
                <w:rFonts w:cs="Arial"/>
                <w:lang w:val="en-US"/>
              </w:rPr>
            </w:pPr>
            <w:r w:rsidRPr="005311FC">
              <w:rPr>
                <w:rFonts w:cs="Arial"/>
                <w:lang w:val="en-US"/>
              </w:rPr>
              <w:t>Mar Duque</w:t>
            </w:r>
          </w:p>
          <w:p w:rsidR="00891E4F" w:rsidRPr="005311FC" w:rsidRDefault="00871795" w:rsidP="00871795">
            <w:pPr>
              <w:jc w:val="center"/>
              <w:rPr>
                <w:rFonts w:cs="Arial"/>
                <w:lang w:val="es-ES"/>
              </w:rPr>
            </w:pPr>
            <w:r w:rsidRPr="005311FC">
              <w:rPr>
                <w:rFonts w:cs="Arial"/>
                <w:lang w:val="en-US"/>
              </w:rPr>
              <w:t>(MD</w:t>
            </w:r>
            <w:r w:rsidR="00891E4F" w:rsidRPr="005311FC">
              <w:rPr>
                <w:rFonts w:cs="Arial"/>
                <w:lang w:val="en-US"/>
              </w:rPr>
              <w:t>)</w:t>
            </w:r>
          </w:p>
        </w:tc>
        <w:tc>
          <w:tcPr>
            <w:tcW w:w="885" w:type="dxa"/>
            <w:shd w:val="clear" w:color="auto" w:fill="auto"/>
            <w:vAlign w:val="center"/>
            <w:hideMark/>
          </w:tcPr>
          <w:p w:rsidR="00891E4F" w:rsidRPr="005311FC" w:rsidRDefault="00891E4F" w:rsidP="00B95C39">
            <w:pPr>
              <w:jc w:val="center"/>
              <w:rPr>
                <w:rFonts w:cs="Arial"/>
                <w:lang w:val="es-ES"/>
              </w:rPr>
            </w:pPr>
            <w:r w:rsidRPr="005311FC">
              <w:rPr>
                <w:rFonts w:cs="Arial"/>
              </w:rPr>
              <w:t>EMFW</w:t>
            </w:r>
          </w:p>
        </w:tc>
        <w:tc>
          <w:tcPr>
            <w:tcW w:w="6480" w:type="dxa"/>
            <w:shd w:val="clear" w:color="auto" w:fill="auto"/>
            <w:vAlign w:val="center"/>
            <w:hideMark/>
          </w:tcPr>
          <w:p w:rsidR="00891E4F" w:rsidRPr="005311FC" w:rsidRDefault="00891E4F" w:rsidP="00B95C39">
            <w:pPr>
              <w:rPr>
                <w:rFonts w:cs="Arial"/>
                <w:lang w:val="en-US"/>
              </w:rPr>
            </w:pPr>
            <w:r w:rsidRPr="005311FC">
              <w:rPr>
                <w:rFonts w:cs="Arial"/>
              </w:rPr>
              <w:t>Health and safety requirements regarding the exposure of workers to the risks arising from physical agents (electromagnetic fields).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n-US"/>
              </w:rPr>
              <w:t>EMFP</w:t>
            </w: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Exposure of general public to electromagnetic fields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n-US"/>
              </w:rPr>
              <w:t>F-GAS</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lang w:val="en-US"/>
              </w:rPr>
              <w:t>Reduction in fluorinated greenhouse gases regulation</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SCP</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noProof/>
                <w:lang w:val="en-US"/>
              </w:rPr>
              <w:t>SCP - Sustainable consumption and production Action Plan</w:t>
            </w:r>
          </w:p>
        </w:tc>
      </w:tr>
      <w:tr w:rsidR="00875D28" w:rsidRPr="00B95C39" w:rsidTr="00FE4F41">
        <w:trPr>
          <w:trHeight w:val="20"/>
          <w:tblHeader/>
          <w:jc w:val="center"/>
        </w:trPr>
        <w:tc>
          <w:tcPr>
            <w:tcW w:w="1855" w:type="dxa"/>
            <w:vMerge w:val="restart"/>
            <w:shd w:val="clear" w:color="auto" w:fill="auto"/>
            <w:vAlign w:val="center"/>
            <w:hideMark/>
          </w:tcPr>
          <w:p w:rsidR="00C55D18" w:rsidRPr="005311FC" w:rsidRDefault="00C55D18" w:rsidP="00C55D18">
            <w:pPr>
              <w:jc w:val="center"/>
              <w:rPr>
                <w:rFonts w:cs="Arial"/>
                <w:lang w:val="es-ES"/>
              </w:rPr>
            </w:pPr>
            <w:r w:rsidRPr="005311FC">
              <w:rPr>
                <w:rFonts w:cs="Arial"/>
                <w:lang w:val="es-ES"/>
              </w:rPr>
              <w:t>ALKARGO</w:t>
            </w:r>
          </w:p>
          <w:p w:rsidR="00C55D18" w:rsidRPr="005311FC" w:rsidRDefault="00875D28" w:rsidP="00C55D18">
            <w:pPr>
              <w:jc w:val="center"/>
              <w:rPr>
                <w:rFonts w:cs="Arial"/>
                <w:lang w:val="es-ES"/>
              </w:rPr>
            </w:pPr>
            <w:r w:rsidRPr="005311FC">
              <w:rPr>
                <w:rFonts w:cs="Arial"/>
                <w:lang w:val="es-ES"/>
              </w:rPr>
              <w:t>Luis Mª Sainz Pereda</w:t>
            </w:r>
          </w:p>
          <w:p w:rsidR="00875D28" w:rsidRPr="005311FC" w:rsidRDefault="00875D28" w:rsidP="00C55D18">
            <w:pPr>
              <w:jc w:val="center"/>
              <w:rPr>
                <w:rFonts w:cs="Arial"/>
                <w:lang w:val="es-ES"/>
              </w:rPr>
            </w:pPr>
            <w:r w:rsidRPr="005311FC">
              <w:rPr>
                <w:rFonts w:cs="Arial"/>
                <w:lang w:val="es-ES"/>
              </w:rPr>
              <w:t>(LMS)</w:t>
            </w: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LVD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Low Voltage Directive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s-ES"/>
              </w:rPr>
              <w:t>CPR</w:t>
            </w:r>
          </w:p>
        </w:tc>
        <w:tc>
          <w:tcPr>
            <w:tcW w:w="6480" w:type="dxa"/>
            <w:shd w:val="clear" w:color="auto" w:fill="auto"/>
            <w:vAlign w:val="center"/>
            <w:hideMark/>
          </w:tcPr>
          <w:p w:rsidR="00875D28" w:rsidRPr="005311FC" w:rsidRDefault="00875D28" w:rsidP="00FE4F41">
            <w:pPr>
              <w:rPr>
                <w:rFonts w:cs="Arial"/>
                <w:lang w:val="es-ES"/>
              </w:rPr>
            </w:pPr>
            <w:r w:rsidRPr="005311FC">
              <w:rPr>
                <w:rFonts w:cs="Arial"/>
                <w:lang w:val="es-ES"/>
              </w:rPr>
              <w:t>Construction Products Regulation</w:t>
            </w:r>
          </w:p>
        </w:tc>
      </w:tr>
      <w:tr w:rsidR="000941D4" w:rsidRPr="00B95C39" w:rsidTr="00FE4F41">
        <w:trPr>
          <w:trHeight w:val="20"/>
          <w:tblHeader/>
          <w:jc w:val="center"/>
        </w:trPr>
        <w:tc>
          <w:tcPr>
            <w:tcW w:w="1855" w:type="dxa"/>
            <w:vMerge/>
            <w:shd w:val="clear" w:color="auto" w:fill="auto"/>
            <w:vAlign w:val="center"/>
          </w:tcPr>
          <w:p w:rsidR="000941D4" w:rsidRPr="005311FC" w:rsidRDefault="000941D4" w:rsidP="00B95C39">
            <w:pPr>
              <w:jc w:val="center"/>
              <w:rPr>
                <w:rFonts w:cs="Arial"/>
                <w:lang w:val="es-ES"/>
              </w:rPr>
            </w:pPr>
          </w:p>
        </w:tc>
        <w:tc>
          <w:tcPr>
            <w:tcW w:w="885" w:type="dxa"/>
            <w:shd w:val="clear" w:color="auto" w:fill="auto"/>
            <w:vAlign w:val="center"/>
          </w:tcPr>
          <w:p w:rsidR="000941D4" w:rsidRPr="005311FC" w:rsidRDefault="000941D4" w:rsidP="00D851D2">
            <w:pPr>
              <w:jc w:val="center"/>
              <w:rPr>
                <w:rFonts w:cs="Arial"/>
                <w:lang w:val="es-ES"/>
              </w:rPr>
            </w:pPr>
            <w:r w:rsidRPr="005311FC">
              <w:rPr>
                <w:rFonts w:cs="Arial"/>
                <w:lang w:val="es-ES"/>
              </w:rPr>
              <w:t>MID</w:t>
            </w:r>
          </w:p>
        </w:tc>
        <w:tc>
          <w:tcPr>
            <w:tcW w:w="6480" w:type="dxa"/>
            <w:shd w:val="clear" w:color="auto" w:fill="auto"/>
            <w:vAlign w:val="center"/>
          </w:tcPr>
          <w:p w:rsidR="000941D4" w:rsidRPr="000941D4" w:rsidRDefault="000941D4" w:rsidP="000941D4">
            <w:pPr>
              <w:rPr>
                <w:rFonts w:cs="Arial"/>
                <w:lang w:val="en-US"/>
              </w:rPr>
            </w:pPr>
            <w:r w:rsidRPr="000941D4">
              <w:rPr>
                <w:rFonts w:cs="Arial"/>
                <w:lang w:val="en-US"/>
              </w:rPr>
              <w:t>Measuring Instruments Directive</w:t>
            </w:r>
          </w:p>
        </w:tc>
      </w:tr>
      <w:tr w:rsidR="00875D28" w:rsidRPr="00B95C39" w:rsidTr="00FE4F41">
        <w:trPr>
          <w:trHeight w:val="20"/>
          <w:tblHeader/>
          <w:jc w:val="center"/>
        </w:trPr>
        <w:tc>
          <w:tcPr>
            <w:tcW w:w="1855" w:type="dxa"/>
            <w:vMerge/>
            <w:shd w:val="clear" w:color="auto" w:fill="auto"/>
            <w:vAlign w:val="center"/>
            <w:hideMark/>
          </w:tcPr>
          <w:p w:rsidR="00875D28" w:rsidRPr="000941D4"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p>
        </w:tc>
        <w:tc>
          <w:tcPr>
            <w:tcW w:w="6480" w:type="dxa"/>
            <w:shd w:val="clear" w:color="auto" w:fill="auto"/>
            <w:vAlign w:val="center"/>
            <w:hideMark/>
          </w:tcPr>
          <w:p w:rsidR="00875D28" w:rsidRPr="000941D4" w:rsidRDefault="000941D4" w:rsidP="00B95C39">
            <w:pPr>
              <w:rPr>
                <w:rFonts w:cs="Arial"/>
                <w:lang w:val="en-US"/>
              </w:rPr>
            </w:pPr>
            <w:r w:rsidRPr="000941D4">
              <w:rPr>
                <w:rFonts w:cs="Arial"/>
                <w:lang w:val="en-US"/>
              </w:rPr>
              <w:t>Energy Performance of Buildings Directive</w:t>
            </w:r>
          </w:p>
        </w:tc>
      </w:tr>
      <w:tr w:rsidR="00875D28" w:rsidRPr="00B95C39" w:rsidTr="00FE4F41">
        <w:trPr>
          <w:trHeight w:val="20"/>
          <w:tblHeader/>
          <w:jc w:val="center"/>
        </w:trPr>
        <w:tc>
          <w:tcPr>
            <w:tcW w:w="1855" w:type="dxa"/>
            <w:vMerge w:val="restart"/>
            <w:shd w:val="clear" w:color="auto" w:fill="auto"/>
            <w:vAlign w:val="center"/>
            <w:hideMark/>
          </w:tcPr>
          <w:p w:rsidR="00C55D18" w:rsidRPr="005311FC" w:rsidRDefault="00875D28" w:rsidP="00B95C39">
            <w:pPr>
              <w:jc w:val="center"/>
              <w:rPr>
                <w:rFonts w:cs="Arial"/>
                <w:lang w:val="es-ES"/>
              </w:rPr>
            </w:pPr>
            <w:r w:rsidRPr="005311FC">
              <w:rPr>
                <w:rFonts w:cs="Arial"/>
                <w:lang w:val="es-ES"/>
              </w:rPr>
              <w:t>IMEFY</w:t>
            </w:r>
          </w:p>
          <w:p w:rsidR="00C55D18" w:rsidRPr="005311FC" w:rsidRDefault="00C55D18" w:rsidP="00B95C39">
            <w:pPr>
              <w:jc w:val="center"/>
              <w:rPr>
                <w:rFonts w:cs="Arial"/>
                <w:lang w:val="es-ES"/>
              </w:rPr>
            </w:pPr>
            <w:r w:rsidRPr="005311FC">
              <w:rPr>
                <w:rFonts w:cs="Arial"/>
                <w:lang w:val="es-ES"/>
              </w:rPr>
              <w:t>Enrique Barrio</w:t>
            </w:r>
          </w:p>
          <w:p w:rsidR="00875D28" w:rsidRPr="005311FC" w:rsidRDefault="00875D28" w:rsidP="00B95C39">
            <w:pPr>
              <w:jc w:val="center"/>
              <w:rPr>
                <w:rFonts w:cs="Arial"/>
                <w:lang w:val="es-ES"/>
              </w:rPr>
            </w:pPr>
            <w:r w:rsidRPr="005311FC">
              <w:rPr>
                <w:rFonts w:cs="Arial"/>
                <w:lang w:val="es-ES"/>
              </w:rPr>
              <w:t>(EB)</w:t>
            </w:r>
          </w:p>
        </w:tc>
        <w:tc>
          <w:tcPr>
            <w:tcW w:w="885" w:type="dxa"/>
            <w:shd w:val="clear" w:color="auto" w:fill="auto"/>
            <w:vAlign w:val="center"/>
            <w:hideMark/>
          </w:tcPr>
          <w:p w:rsidR="00875D28" w:rsidRPr="005311FC" w:rsidRDefault="00875D28" w:rsidP="00B95C39">
            <w:pPr>
              <w:jc w:val="center"/>
              <w:rPr>
                <w:rFonts w:cs="Arial"/>
                <w:lang w:val="es-ES"/>
              </w:rPr>
            </w:pPr>
          </w:p>
        </w:tc>
        <w:tc>
          <w:tcPr>
            <w:tcW w:w="6480" w:type="dxa"/>
            <w:shd w:val="clear" w:color="auto" w:fill="auto"/>
            <w:vAlign w:val="center"/>
            <w:hideMark/>
          </w:tcPr>
          <w:p w:rsidR="00875D28" w:rsidRPr="005311FC" w:rsidRDefault="00875D28" w:rsidP="00B95C39">
            <w:pPr>
              <w:rPr>
                <w:rFonts w:cs="Arial"/>
                <w:lang w:val="en-US"/>
              </w:rPr>
            </w:pPr>
            <w:r w:rsidRPr="005311FC">
              <w:rPr>
                <w:rFonts w:cs="Arial"/>
                <w:lang w:val="en-US"/>
              </w:rPr>
              <w:t>Noise emission in the environment by equipment for use outdoors</w:t>
            </w:r>
          </w:p>
        </w:tc>
      </w:tr>
      <w:tr w:rsidR="00875D28" w:rsidRPr="00A4037C"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n-US"/>
              </w:rPr>
            </w:pPr>
          </w:p>
        </w:tc>
        <w:tc>
          <w:tcPr>
            <w:tcW w:w="6480" w:type="dxa"/>
            <w:shd w:val="clear" w:color="auto" w:fill="auto"/>
            <w:vAlign w:val="center"/>
            <w:hideMark/>
          </w:tcPr>
          <w:p w:rsidR="00875D28" w:rsidRPr="005311FC" w:rsidRDefault="00875D28" w:rsidP="00B95C39">
            <w:pPr>
              <w:rPr>
                <w:rFonts w:cs="Arial"/>
                <w:lang w:val="es-ES"/>
              </w:rPr>
            </w:pPr>
            <w:r w:rsidRPr="005311FC">
              <w:rPr>
                <w:rFonts w:cs="Arial"/>
                <w:noProof/>
                <w:lang w:val="es-ES"/>
              </w:rPr>
              <w:t>Compra pública verde y huella de carbono</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B95C39">
            <w:pPr>
              <w:jc w:val="center"/>
              <w:rPr>
                <w:rFonts w:cs="Arial"/>
                <w:lang w:val="es-ES"/>
              </w:rPr>
            </w:pPr>
          </w:p>
        </w:tc>
        <w:tc>
          <w:tcPr>
            <w:tcW w:w="6480" w:type="dxa"/>
            <w:shd w:val="clear" w:color="auto" w:fill="auto"/>
            <w:vAlign w:val="center"/>
            <w:hideMark/>
          </w:tcPr>
          <w:p w:rsidR="00875D28" w:rsidRPr="005311FC" w:rsidRDefault="00875D28" w:rsidP="00B95C39">
            <w:pPr>
              <w:rPr>
                <w:rFonts w:cs="Arial"/>
              </w:rPr>
            </w:pPr>
            <w:r w:rsidRPr="005311FC">
              <w:rPr>
                <w:rFonts w:cs="Arial"/>
              </w:rPr>
              <w:t>Environmental footprint of products / Environmental footprint initiative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n-US"/>
              </w:rPr>
            </w:pPr>
            <w:r w:rsidRPr="005311FC">
              <w:rPr>
                <w:rFonts w:cs="Arial"/>
                <w:lang w:val="en-US"/>
              </w:rPr>
              <w:t>ATEX</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lang w:val="en-US"/>
              </w:rPr>
              <w:t>ATEX product directive</w:t>
            </w:r>
          </w:p>
        </w:tc>
      </w:tr>
      <w:tr w:rsidR="00875D28" w:rsidRPr="00B95C39" w:rsidTr="00FE4F41">
        <w:trPr>
          <w:trHeight w:val="20"/>
          <w:tblHeader/>
          <w:jc w:val="center"/>
        </w:trPr>
        <w:tc>
          <w:tcPr>
            <w:tcW w:w="1855" w:type="dxa"/>
            <w:vMerge w:val="restart"/>
            <w:shd w:val="clear" w:color="auto" w:fill="auto"/>
            <w:vAlign w:val="center"/>
            <w:hideMark/>
          </w:tcPr>
          <w:p w:rsidR="00C55D18" w:rsidRPr="005311FC" w:rsidRDefault="00C55D18" w:rsidP="00B95C39">
            <w:pPr>
              <w:jc w:val="center"/>
              <w:rPr>
                <w:rFonts w:cs="Arial"/>
                <w:lang w:val="es-ES"/>
              </w:rPr>
            </w:pPr>
            <w:r w:rsidRPr="005311FC">
              <w:rPr>
                <w:rFonts w:cs="Arial"/>
                <w:lang w:val="es-ES"/>
              </w:rPr>
              <w:t>MESA</w:t>
            </w:r>
          </w:p>
          <w:p w:rsidR="00C55D18" w:rsidRPr="005311FC" w:rsidRDefault="00875D28" w:rsidP="00B95C39">
            <w:pPr>
              <w:jc w:val="center"/>
              <w:rPr>
                <w:rFonts w:cs="Arial"/>
                <w:lang w:val="es-ES"/>
              </w:rPr>
            </w:pPr>
            <w:r w:rsidRPr="005311FC">
              <w:rPr>
                <w:rFonts w:cs="Arial"/>
                <w:lang w:val="es-ES"/>
              </w:rPr>
              <w:t>Pedro Martínez</w:t>
            </w:r>
          </w:p>
          <w:p w:rsidR="00875D28" w:rsidRPr="005311FC" w:rsidRDefault="00875D28" w:rsidP="00B95C39">
            <w:pPr>
              <w:jc w:val="center"/>
              <w:rPr>
                <w:rFonts w:cs="Arial"/>
                <w:lang w:val="es-ES"/>
              </w:rPr>
            </w:pPr>
            <w:r w:rsidRPr="005311FC">
              <w:rPr>
                <w:rFonts w:cs="Arial"/>
                <w:lang w:val="es-ES"/>
              </w:rPr>
              <w:t>(PM)</w:t>
            </w: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rPr>
              <w:t>NLF</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lang w:val="en-US"/>
              </w:rPr>
              <w:t>NLF - New Legislative Framework</w:t>
            </w:r>
          </w:p>
          <w:p w:rsidR="00875D28" w:rsidRPr="005311FC" w:rsidRDefault="00875D28" w:rsidP="00B95C39">
            <w:pPr>
              <w:rPr>
                <w:rFonts w:cs="Arial"/>
                <w:lang w:val="en-US"/>
              </w:rPr>
            </w:pPr>
            <w:r w:rsidRPr="005311FC">
              <w:rPr>
                <w:rFonts w:cs="Arial"/>
                <w:lang w:val="en-US"/>
              </w:rPr>
              <w:t>New Approach &amp; Market Surveillance (NAMS)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rPr>
              <w:t>ROHS</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rPr>
              <w:t>Restriction of the use of certain Hazardous Substances in electrical and electronic equipment</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rPr>
              <w:t>WEEE</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rPr>
              <w:t>Directive on Waste Electrical and Electronic Equipment</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n-US"/>
              </w:rPr>
              <w:t>REACH</w:t>
            </w: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Registration, Evaluation, Authorisation and Restriction of chemicals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C260B7">
            <w:pPr>
              <w:rPr>
                <w:rFonts w:cs="Arial"/>
                <w:lang w:val="es-ES"/>
              </w:rPr>
            </w:pPr>
            <w:r w:rsidRPr="005311FC">
              <w:rPr>
                <w:rFonts w:cs="Arial"/>
                <w:lang w:val="es-ES"/>
              </w:rPr>
              <w:t>GPSD</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lang w:val="en-US"/>
              </w:rPr>
              <w:t>General Product Safety Directive</w:t>
            </w:r>
          </w:p>
        </w:tc>
      </w:tr>
      <w:tr w:rsidR="00875D28" w:rsidRPr="00B95C39" w:rsidTr="00FE4F41">
        <w:trPr>
          <w:trHeight w:val="20"/>
          <w:tblHeader/>
          <w:jc w:val="center"/>
        </w:trPr>
        <w:tc>
          <w:tcPr>
            <w:tcW w:w="1855" w:type="dxa"/>
            <w:vMerge w:val="restart"/>
            <w:shd w:val="clear" w:color="auto" w:fill="auto"/>
            <w:vAlign w:val="center"/>
            <w:hideMark/>
          </w:tcPr>
          <w:p w:rsidR="00C55D18" w:rsidRPr="005311FC" w:rsidRDefault="00875D28" w:rsidP="00B95C39">
            <w:pPr>
              <w:jc w:val="center"/>
              <w:rPr>
                <w:rFonts w:cs="Arial"/>
                <w:lang w:val="es-ES"/>
              </w:rPr>
            </w:pPr>
            <w:r w:rsidRPr="005311FC">
              <w:rPr>
                <w:rFonts w:cs="Arial"/>
                <w:lang w:val="es-ES"/>
              </w:rPr>
              <w:t>ORMAZABAL</w:t>
            </w:r>
          </w:p>
          <w:p w:rsidR="00C55D18" w:rsidRPr="005311FC" w:rsidRDefault="00875D28" w:rsidP="00B95C39">
            <w:pPr>
              <w:jc w:val="center"/>
              <w:rPr>
                <w:rFonts w:cs="Arial"/>
                <w:lang w:val="es-ES"/>
              </w:rPr>
            </w:pPr>
            <w:r w:rsidRPr="005311FC">
              <w:rPr>
                <w:rFonts w:cs="Arial"/>
                <w:lang w:val="es-ES"/>
              </w:rPr>
              <w:t>Mikel</w:t>
            </w:r>
            <w:r w:rsidR="00C55D18" w:rsidRPr="005311FC">
              <w:rPr>
                <w:rFonts w:cs="Arial"/>
                <w:lang w:val="es-ES"/>
              </w:rPr>
              <w:t xml:space="preserve"> Zaldunbide</w:t>
            </w:r>
          </w:p>
          <w:p w:rsidR="00875D28" w:rsidRPr="005311FC" w:rsidRDefault="00875D28" w:rsidP="00B95C39">
            <w:pPr>
              <w:jc w:val="center"/>
              <w:rPr>
                <w:rFonts w:cs="Arial"/>
                <w:lang w:val="es-ES"/>
              </w:rPr>
            </w:pPr>
            <w:r w:rsidRPr="005311FC">
              <w:rPr>
                <w:rFonts w:cs="Arial"/>
                <w:lang w:val="es-ES"/>
              </w:rPr>
              <w:t>(MZ)</w:t>
            </w: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EED</w:t>
            </w:r>
          </w:p>
        </w:tc>
        <w:tc>
          <w:tcPr>
            <w:tcW w:w="6480" w:type="dxa"/>
            <w:shd w:val="clear" w:color="auto" w:fill="auto"/>
            <w:vAlign w:val="center"/>
            <w:hideMark/>
          </w:tcPr>
          <w:p w:rsidR="00875D28" w:rsidRPr="005311FC" w:rsidRDefault="003D4AF4" w:rsidP="003D4AF4">
            <w:pPr>
              <w:rPr>
                <w:rFonts w:cs="Arial"/>
                <w:lang w:val="en-US"/>
              </w:rPr>
            </w:pPr>
            <w:r w:rsidRPr="005311FC">
              <w:rPr>
                <w:rFonts w:cs="Arial"/>
                <w:noProof/>
                <w:lang w:val="en-US"/>
              </w:rPr>
              <w:t>Directive on Energy Efficiency (2012/27/UE)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EMCD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Electromagnetic Compatibility</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MD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Machinery Directive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WD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Waste</w:t>
            </w:r>
          </w:p>
        </w:tc>
      </w:tr>
      <w:tr w:rsidR="00071AEC" w:rsidRPr="00071AEC" w:rsidTr="00FE4F41">
        <w:trPr>
          <w:trHeight w:val="20"/>
          <w:tblHeader/>
          <w:jc w:val="center"/>
        </w:trPr>
        <w:tc>
          <w:tcPr>
            <w:tcW w:w="1855" w:type="dxa"/>
            <w:vMerge/>
            <w:shd w:val="clear" w:color="auto" w:fill="auto"/>
            <w:vAlign w:val="center"/>
          </w:tcPr>
          <w:p w:rsidR="00071AEC" w:rsidRPr="005311FC" w:rsidRDefault="00071AEC" w:rsidP="00B95C39">
            <w:pPr>
              <w:jc w:val="center"/>
              <w:rPr>
                <w:rFonts w:cs="Arial"/>
                <w:lang w:val="es-ES"/>
              </w:rPr>
            </w:pPr>
          </w:p>
        </w:tc>
        <w:tc>
          <w:tcPr>
            <w:tcW w:w="885" w:type="dxa"/>
            <w:shd w:val="clear" w:color="auto" w:fill="auto"/>
            <w:vAlign w:val="center"/>
          </w:tcPr>
          <w:p w:rsidR="00071AEC" w:rsidRPr="005311FC" w:rsidRDefault="00071AEC" w:rsidP="00B95C39">
            <w:pPr>
              <w:jc w:val="center"/>
              <w:rPr>
                <w:rFonts w:cs="Arial"/>
                <w:lang w:val="es-ES"/>
              </w:rPr>
            </w:pPr>
          </w:p>
        </w:tc>
        <w:tc>
          <w:tcPr>
            <w:tcW w:w="6480" w:type="dxa"/>
            <w:shd w:val="clear" w:color="auto" w:fill="auto"/>
            <w:vAlign w:val="center"/>
          </w:tcPr>
          <w:p w:rsidR="00071AEC" w:rsidRPr="005311FC" w:rsidRDefault="00071AEC" w:rsidP="00B95C39">
            <w:pPr>
              <w:rPr>
                <w:rFonts w:cs="Arial"/>
                <w:noProof/>
                <w:lang w:val="en-US"/>
              </w:rPr>
            </w:pPr>
            <w:r w:rsidRPr="005311FC">
              <w:rPr>
                <w:rFonts w:cs="Arial"/>
                <w:noProof/>
                <w:lang w:val="en-US"/>
              </w:rPr>
              <w:t>Proposal for a Directive on alternative fuel infrastructures</w:t>
            </w:r>
          </w:p>
        </w:tc>
      </w:tr>
      <w:tr w:rsidR="00875D28" w:rsidRPr="00A4037C"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n-US"/>
              </w:rPr>
            </w:pPr>
          </w:p>
        </w:tc>
        <w:tc>
          <w:tcPr>
            <w:tcW w:w="6480" w:type="dxa"/>
            <w:shd w:val="clear" w:color="auto" w:fill="auto"/>
            <w:vAlign w:val="center"/>
            <w:hideMark/>
          </w:tcPr>
          <w:p w:rsidR="00875D28" w:rsidRPr="005311FC" w:rsidRDefault="00875D28" w:rsidP="00B95C39">
            <w:pPr>
              <w:rPr>
                <w:rFonts w:cs="Arial"/>
                <w:lang w:val="es-ES"/>
              </w:rPr>
            </w:pPr>
            <w:r w:rsidRPr="005311FC">
              <w:rPr>
                <w:rFonts w:cs="Arial"/>
                <w:noProof/>
                <w:lang w:val="es-ES"/>
              </w:rPr>
              <w:t>Agenda estratégica de investigación de las redes inteligentes (2035)</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PLD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Product Liability Directive</w:t>
            </w:r>
          </w:p>
        </w:tc>
      </w:tr>
      <w:tr w:rsidR="00875D28" w:rsidRPr="00B95C39" w:rsidTr="00FE4F41">
        <w:trPr>
          <w:trHeight w:val="20"/>
          <w:tblHeader/>
          <w:jc w:val="center"/>
        </w:trPr>
        <w:tc>
          <w:tcPr>
            <w:tcW w:w="1855" w:type="dxa"/>
            <w:vMerge w:val="restart"/>
            <w:shd w:val="clear" w:color="auto" w:fill="auto"/>
            <w:vAlign w:val="center"/>
            <w:hideMark/>
          </w:tcPr>
          <w:p w:rsidR="00C55D18" w:rsidRPr="005311FC" w:rsidRDefault="00875D28" w:rsidP="00C55D18">
            <w:pPr>
              <w:jc w:val="center"/>
              <w:rPr>
                <w:rFonts w:cs="Arial"/>
                <w:lang w:val="es-ES"/>
              </w:rPr>
            </w:pPr>
            <w:r w:rsidRPr="005311FC">
              <w:rPr>
                <w:rFonts w:cs="Arial"/>
                <w:lang w:val="es-ES"/>
              </w:rPr>
              <w:t>SCHNEIDER</w:t>
            </w:r>
          </w:p>
          <w:p w:rsidR="00C55D18" w:rsidRPr="005311FC" w:rsidRDefault="00875D28" w:rsidP="00C55D18">
            <w:pPr>
              <w:jc w:val="center"/>
              <w:rPr>
                <w:rFonts w:cs="Arial"/>
                <w:lang w:val="es-ES"/>
              </w:rPr>
            </w:pPr>
            <w:r w:rsidRPr="005311FC">
              <w:rPr>
                <w:rFonts w:cs="Arial"/>
                <w:lang w:val="es-ES"/>
              </w:rPr>
              <w:t>Rafael Muñoz</w:t>
            </w:r>
          </w:p>
          <w:p w:rsidR="00875D28" w:rsidRPr="005311FC" w:rsidRDefault="00875D28" w:rsidP="00C55D18">
            <w:pPr>
              <w:jc w:val="center"/>
              <w:rPr>
                <w:rFonts w:cs="Arial"/>
                <w:lang w:val="es-ES"/>
              </w:rPr>
            </w:pPr>
            <w:r w:rsidRPr="005311FC">
              <w:rPr>
                <w:rFonts w:cs="Arial"/>
                <w:lang w:val="es-ES"/>
              </w:rPr>
              <w:t>(RM</w:t>
            </w:r>
            <w:r w:rsidR="00C55D18" w:rsidRPr="005311FC">
              <w:rPr>
                <w:rFonts w:cs="Arial"/>
                <w:lang w:val="es-ES"/>
              </w:rPr>
              <w:t>)</w:t>
            </w:r>
          </w:p>
        </w:tc>
        <w:tc>
          <w:tcPr>
            <w:tcW w:w="885" w:type="dxa"/>
            <w:shd w:val="clear" w:color="auto" w:fill="auto"/>
            <w:vAlign w:val="center"/>
            <w:hideMark/>
          </w:tcPr>
          <w:p w:rsidR="00875D28" w:rsidRPr="005311FC" w:rsidRDefault="00875D28" w:rsidP="00B95C39">
            <w:pPr>
              <w:jc w:val="center"/>
              <w:rPr>
                <w:rFonts w:cs="Arial"/>
                <w:lang w:val="es-ES"/>
              </w:rPr>
            </w:pPr>
          </w:p>
        </w:tc>
        <w:tc>
          <w:tcPr>
            <w:tcW w:w="6480" w:type="dxa"/>
            <w:shd w:val="clear" w:color="auto" w:fill="auto"/>
            <w:vAlign w:val="center"/>
            <w:hideMark/>
          </w:tcPr>
          <w:p w:rsidR="00875D28" w:rsidRPr="005311FC" w:rsidRDefault="00875D28" w:rsidP="00B95C39">
            <w:pPr>
              <w:rPr>
                <w:rFonts w:cs="Arial"/>
                <w:lang w:val="en-US"/>
              </w:rPr>
            </w:pPr>
            <w:r w:rsidRPr="005311FC">
              <w:rPr>
                <w:rFonts w:cs="Arial"/>
                <w:noProof/>
                <w:lang w:val="en-US"/>
              </w:rPr>
              <w:t>Energy labelling / Indication by labelling and standard product information of the consumption of energy and other resources by energy-related products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rPr>
              <w:t>ERPD</w:t>
            </w:r>
          </w:p>
        </w:tc>
        <w:tc>
          <w:tcPr>
            <w:tcW w:w="6480" w:type="dxa"/>
            <w:shd w:val="clear" w:color="auto" w:fill="auto"/>
            <w:vAlign w:val="center"/>
            <w:hideMark/>
          </w:tcPr>
          <w:p w:rsidR="00875D28" w:rsidRPr="005311FC" w:rsidRDefault="00875D28" w:rsidP="00B95C39">
            <w:pPr>
              <w:rPr>
                <w:rFonts w:cs="Arial"/>
                <w:lang w:val="en-US"/>
              </w:rPr>
            </w:pPr>
            <w:r w:rsidRPr="005311FC">
              <w:rPr>
                <w:rFonts w:cs="Arial"/>
              </w:rPr>
              <w:t>Eco-design requirements for energy-related products</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PED</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Pressure Equipment Directive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B95C39">
            <w:pPr>
              <w:jc w:val="center"/>
              <w:rPr>
                <w:rFonts w:cs="Arial"/>
                <w:lang w:val="es-ES"/>
              </w:rPr>
            </w:pPr>
            <w:r w:rsidRPr="005311FC">
              <w:rPr>
                <w:rFonts w:cs="Arial"/>
                <w:lang w:val="es-ES"/>
              </w:rPr>
              <w:t>SPV</w:t>
            </w:r>
          </w:p>
        </w:tc>
        <w:tc>
          <w:tcPr>
            <w:tcW w:w="6480" w:type="dxa"/>
            <w:shd w:val="clear" w:color="auto" w:fill="auto"/>
            <w:vAlign w:val="center"/>
            <w:hideMark/>
          </w:tcPr>
          <w:p w:rsidR="00875D28" w:rsidRPr="005311FC" w:rsidRDefault="00875D28" w:rsidP="00B95C39">
            <w:pPr>
              <w:rPr>
                <w:rFonts w:cs="Arial"/>
                <w:lang w:val="es-ES"/>
              </w:rPr>
            </w:pPr>
            <w:r w:rsidRPr="005311FC">
              <w:rPr>
                <w:rFonts w:cs="Arial"/>
                <w:lang w:val="es-ES"/>
              </w:rPr>
              <w:t>Simple Pressure Vessel Directive</w:t>
            </w:r>
          </w:p>
        </w:tc>
      </w:tr>
      <w:tr w:rsidR="00875D28" w:rsidRPr="00B95C39" w:rsidTr="00FE4F41">
        <w:trPr>
          <w:trHeight w:val="20"/>
          <w:tblHeader/>
          <w:jc w:val="center"/>
        </w:trPr>
        <w:tc>
          <w:tcPr>
            <w:tcW w:w="1855" w:type="dxa"/>
            <w:vMerge w:val="restart"/>
            <w:shd w:val="clear" w:color="auto" w:fill="auto"/>
            <w:vAlign w:val="center"/>
            <w:hideMark/>
          </w:tcPr>
          <w:p w:rsidR="00875D28" w:rsidRPr="005311FC" w:rsidRDefault="00875D28" w:rsidP="00B95C39">
            <w:pPr>
              <w:jc w:val="center"/>
              <w:rPr>
                <w:rFonts w:cs="Arial"/>
                <w:lang w:val="es-ES"/>
              </w:rPr>
            </w:pPr>
            <w:r w:rsidRPr="005311FC">
              <w:rPr>
                <w:rFonts w:cs="Arial"/>
                <w:lang w:val="es-ES"/>
              </w:rPr>
              <w:t>PENDIENTE DE ASIGNACIÓN</w:t>
            </w: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n-US"/>
              </w:rPr>
              <w:t>EMAS</w:t>
            </w: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Eco-management and audit scheme regulation</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n-US"/>
              </w:rPr>
              <w:t>EPBD</w:t>
            </w: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Energy performance of buildings directive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s-ES"/>
              </w:rPr>
            </w:pPr>
            <w:r w:rsidRPr="005311FC">
              <w:rPr>
                <w:rFonts w:cs="Arial"/>
                <w:lang w:val="en-US"/>
              </w:rPr>
              <w:t>GAD</w:t>
            </w:r>
          </w:p>
        </w:tc>
        <w:tc>
          <w:tcPr>
            <w:tcW w:w="6480" w:type="dxa"/>
            <w:shd w:val="clear" w:color="auto" w:fill="auto"/>
            <w:vAlign w:val="center"/>
            <w:hideMark/>
          </w:tcPr>
          <w:p w:rsidR="00875D28" w:rsidRPr="005311FC" w:rsidRDefault="00875D28" w:rsidP="00FE4F41">
            <w:pPr>
              <w:rPr>
                <w:rFonts w:cs="Arial"/>
                <w:lang w:val="es-ES"/>
              </w:rPr>
            </w:pPr>
            <w:r w:rsidRPr="005311FC">
              <w:rPr>
                <w:rFonts w:cs="Arial"/>
                <w:lang w:val="en-US"/>
              </w:rPr>
              <w:t>Gas appliances directive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s-ES"/>
              </w:rPr>
            </w:pPr>
          </w:p>
        </w:tc>
        <w:tc>
          <w:tcPr>
            <w:tcW w:w="885" w:type="dxa"/>
            <w:shd w:val="clear" w:color="auto" w:fill="auto"/>
            <w:vAlign w:val="center"/>
            <w:hideMark/>
          </w:tcPr>
          <w:p w:rsidR="00875D28" w:rsidRPr="005311FC" w:rsidRDefault="00875D28" w:rsidP="00FE4F41">
            <w:pPr>
              <w:jc w:val="center"/>
              <w:rPr>
                <w:rFonts w:cs="Arial"/>
                <w:lang w:val="en-US"/>
              </w:rPr>
            </w:pP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Eco-label award scheme regulation</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n-US"/>
              </w:rPr>
            </w:pPr>
          </w:p>
        </w:tc>
        <w:tc>
          <w:tcPr>
            <w:tcW w:w="6480" w:type="dxa"/>
            <w:shd w:val="clear" w:color="auto" w:fill="auto"/>
            <w:vAlign w:val="center"/>
            <w:hideMark/>
          </w:tcPr>
          <w:p w:rsidR="00875D28" w:rsidRPr="005311FC" w:rsidRDefault="00875D28" w:rsidP="00FE4F41">
            <w:pPr>
              <w:rPr>
                <w:rFonts w:cs="Arial"/>
                <w:lang w:val="en-US"/>
              </w:rPr>
            </w:pPr>
            <w:r w:rsidRPr="005311FC">
              <w:rPr>
                <w:rFonts w:cs="Arial"/>
              </w:rPr>
              <w:t>Environmental liability with regard to the prevention and remedying of environmental damage</w:t>
            </w:r>
          </w:p>
        </w:tc>
      </w:tr>
      <w:tr w:rsidR="00875D28" w:rsidRPr="00B95C39" w:rsidTr="00FE4F41">
        <w:trPr>
          <w:trHeight w:val="20"/>
          <w:tblHeader/>
          <w:jc w:val="center"/>
        </w:trPr>
        <w:tc>
          <w:tcPr>
            <w:tcW w:w="1855" w:type="dxa"/>
            <w:vMerge/>
            <w:shd w:val="clear" w:color="auto" w:fill="auto"/>
            <w:vAlign w:val="center"/>
            <w:hideMark/>
          </w:tcPr>
          <w:p w:rsidR="00875D28" w:rsidRPr="005311FC" w:rsidRDefault="00875D28" w:rsidP="00B95C39">
            <w:pPr>
              <w:jc w:val="center"/>
              <w:rPr>
                <w:rFonts w:cs="Arial"/>
                <w:lang w:val="en-US"/>
              </w:rPr>
            </w:pPr>
          </w:p>
        </w:tc>
        <w:tc>
          <w:tcPr>
            <w:tcW w:w="885" w:type="dxa"/>
            <w:shd w:val="clear" w:color="auto" w:fill="auto"/>
            <w:vAlign w:val="center"/>
            <w:hideMark/>
          </w:tcPr>
          <w:p w:rsidR="00875D28" w:rsidRPr="005311FC" w:rsidRDefault="00875D28" w:rsidP="00FE4F41">
            <w:pPr>
              <w:jc w:val="center"/>
              <w:rPr>
                <w:rFonts w:cs="Arial"/>
                <w:lang w:val="en-US"/>
              </w:rPr>
            </w:pPr>
          </w:p>
        </w:tc>
        <w:tc>
          <w:tcPr>
            <w:tcW w:w="6480" w:type="dxa"/>
            <w:shd w:val="clear" w:color="auto" w:fill="auto"/>
            <w:vAlign w:val="center"/>
            <w:hideMark/>
          </w:tcPr>
          <w:p w:rsidR="00875D28" w:rsidRPr="005311FC" w:rsidRDefault="00875D28" w:rsidP="00FE4F41">
            <w:pPr>
              <w:rPr>
                <w:rFonts w:cs="Arial"/>
                <w:lang w:val="en-US"/>
              </w:rPr>
            </w:pPr>
            <w:r w:rsidRPr="005311FC">
              <w:rPr>
                <w:rFonts w:cs="Arial"/>
                <w:lang w:val="en-US"/>
              </w:rPr>
              <w:t>Exposure to artificial optical radiation</w:t>
            </w:r>
          </w:p>
        </w:tc>
      </w:tr>
    </w:tbl>
    <w:p w:rsidR="00B95C39" w:rsidRDefault="00B95C39" w:rsidP="00B95C39"/>
    <w:p w:rsidR="00780F8A" w:rsidRPr="008D6890" w:rsidRDefault="00780F8A">
      <w:pPr>
        <w:rPr>
          <w:b/>
          <w:color w:val="0000FF"/>
          <w:kern w:val="28"/>
          <w:sz w:val="36"/>
          <w:lang w:val="en-US"/>
        </w:rPr>
      </w:pPr>
      <w:r w:rsidRPr="008D6890">
        <w:rPr>
          <w:lang w:val="en-US"/>
        </w:rPr>
        <w:lastRenderedPageBreak/>
        <w:br w:type="page"/>
      </w:r>
    </w:p>
    <w:p w:rsidR="00B165F3" w:rsidRPr="00D465DB" w:rsidRDefault="00C02081" w:rsidP="00D465DB">
      <w:pPr>
        <w:pStyle w:val="Ttulo1"/>
        <w:tabs>
          <w:tab w:val="clear" w:pos="360"/>
          <w:tab w:val="num" w:pos="432"/>
        </w:tabs>
        <w:spacing w:after="360" w:line="240" w:lineRule="atLeast"/>
        <w:ind w:left="432" w:hanging="432"/>
        <w:jc w:val="both"/>
        <w:rPr>
          <w:lang w:val="es-ES"/>
        </w:rPr>
      </w:pPr>
      <w:bookmarkStart w:id="3" w:name="_Toc404614843"/>
      <w:r>
        <w:rPr>
          <w:lang w:val="es-ES"/>
        </w:rPr>
        <w:lastRenderedPageBreak/>
        <w:t>ANÁLISIS</w:t>
      </w:r>
      <w:r w:rsidR="00BC5B35">
        <w:rPr>
          <w:lang w:val="es-ES"/>
        </w:rPr>
        <w:t xml:space="preserve"> DE LAS </w:t>
      </w:r>
      <w:r w:rsidR="00BC5B35" w:rsidRPr="00D465DB">
        <w:rPr>
          <w:lang w:val="es-ES"/>
        </w:rPr>
        <w:t xml:space="preserve">DIRECTIVAS INCLUIDAS EN EL </w:t>
      </w:r>
      <w:r w:rsidR="00BC5B35" w:rsidRPr="00BC5B35">
        <w:rPr>
          <w:i/>
          <w:lang w:val="es-ES"/>
        </w:rPr>
        <w:t>“POSITION PAPER”</w:t>
      </w:r>
      <w:bookmarkEnd w:id="3"/>
    </w:p>
    <w:p w:rsidR="001C6E81" w:rsidRPr="001C6E81" w:rsidRDefault="001C6E81" w:rsidP="00EA24AB">
      <w:pPr>
        <w:jc w:val="both"/>
        <w:rPr>
          <w:rFonts w:cs="Arial"/>
          <w:lang w:val="es-ES"/>
        </w:rPr>
      </w:pPr>
      <w:r w:rsidRPr="001C6E81">
        <w:rPr>
          <w:rFonts w:cs="Arial"/>
          <w:lang w:val="es-ES"/>
        </w:rPr>
        <w:t xml:space="preserve">A continuación se relacionan las Directivas de la Unión Europea que, en principio podrían ser aplicables a los Equipos Eléctricos de Alta Tensión: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Seguridad en las Máquinas (MD)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Compatibilidad Electromagnética (EMCD)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Baja Tensión (LVD)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Productos de Construcción (CPD)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Equipos a Presión (PED)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Equipos que utilizan Energía (EuPD) </w:t>
      </w:r>
    </w:p>
    <w:p w:rsidR="001C6E81" w:rsidRPr="001C6E81" w:rsidRDefault="001C6E81" w:rsidP="00614F18">
      <w:pPr>
        <w:pStyle w:val="Prrafodelista"/>
        <w:numPr>
          <w:ilvl w:val="0"/>
          <w:numId w:val="2"/>
        </w:numPr>
        <w:jc w:val="both"/>
        <w:rPr>
          <w:rFonts w:cs="Arial"/>
          <w:lang w:val="es-ES"/>
        </w:rPr>
      </w:pPr>
      <w:r w:rsidRPr="001C6E81">
        <w:rPr>
          <w:rFonts w:cs="Arial"/>
          <w:lang w:val="es-ES"/>
        </w:rPr>
        <w:t xml:space="preserve">Directiva de Residuos de Aparatos Eléctricos y Electrónicos (WEEE) y Directiva de Restricciones en el uso de Substancias Peligrosas (RoHS) </w:t>
      </w:r>
    </w:p>
    <w:p w:rsidR="001C6E81" w:rsidRPr="001C6E81" w:rsidRDefault="001C6E81" w:rsidP="00EA24AB">
      <w:pPr>
        <w:jc w:val="both"/>
        <w:rPr>
          <w:rFonts w:cs="Arial"/>
          <w:lang w:val="es-ES"/>
        </w:rPr>
      </w:pPr>
    </w:p>
    <w:p w:rsidR="00AF2A62" w:rsidRDefault="0094485C" w:rsidP="00D465DB">
      <w:pPr>
        <w:pStyle w:val="Ttulo2"/>
        <w:tabs>
          <w:tab w:val="clear" w:pos="0"/>
          <w:tab w:val="num" w:pos="851"/>
        </w:tabs>
        <w:ind w:left="851" w:hanging="851"/>
        <w:jc w:val="both"/>
        <w:rPr>
          <w:b w:val="0"/>
          <w:i w:val="0"/>
          <w:lang w:val="es-ES"/>
        </w:rPr>
      </w:pPr>
      <w:bookmarkStart w:id="4" w:name="_Toc404614844"/>
      <w:r>
        <w:rPr>
          <w:b w:val="0"/>
          <w:i w:val="0"/>
          <w:lang w:val="es-ES"/>
        </w:rPr>
        <w:t xml:space="preserve">MD - </w:t>
      </w:r>
      <w:r w:rsidR="00297FA0" w:rsidRPr="00D465DB">
        <w:rPr>
          <w:b w:val="0"/>
          <w:i w:val="0"/>
          <w:lang w:val="es-ES"/>
        </w:rPr>
        <w:t>Directiva de máquinas</w:t>
      </w:r>
      <w:r w:rsidR="00AF2A62" w:rsidRPr="00D465DB">
        <w:rPr>
          <w:b w:val="0"/>
          <w:i w:val="0"/>
          <w:lang w:val="es-ES"/>
        </w:rPr>
        <w:t xml:space="preserve"> 2006/42/EC</w:t>
      </w:r>
      <w:bookmarkEnd w:id="4"/>
    </w:p>
    <w:p w:rsidR="00DA503B" w:rsidRDefault="00F5022D" w:rsidP="00411495">
      <w:pPr>
        <w:pStyle w:val="Prrafodelista"/>
        <w:numPr>
          <w:ilvl w:val="0"/>
          <w:numId w:val="25"/>
        </w:numPr>
        <w:rPr>
          <w:lang w:val="es-ES"/>
        </w:rPr>
      </w:pPr>
      <w:hyperlink r:id="rId15" w:history="1">
        <w:r w:rsidR="00DA503B" w:rsidRPr="00052207">
          <w:rPr>
            <w:rStyle w:val="Hipervnculo"/>
            <w:lang w:val="es-ES"/>
          </w:rPr>
          <w:t>http://ec.europa.eu/enterprise/sectors/mechanical/documents/legislation/machinery/</w:t>
        </w:r>
      </w:hyperlink>
    </w:p>
    <w:p w:rsidR="00DA503B" w:rsidRPr="00DA503B" w:rsidRDefault="00DA503B" w:rsidP="00DA503B">
      <w:pPr>
        <w:pStyle w:val="Prrafodelista"/>
        <w:rPr>
          <w:lang w:val="es-ES"/>
        </w:rPr>
      </w:pPr>
    </w:p>
    <w:p w:rsidR="001C6E81" w:rsidRPr="001C6E81" w:rsidRDefault="001C6E81" w:rsidP="00EA24AB">
      <w:pPr>
        <w:jc w:val="both"/>
        <w:rPr>
          <w:rFonts w:cs="Arial"/>
          <w:lang w:val="es-ES"/>
        </w:rPr>
      </w:pPr>
      <w:r w:rsidRPr="001C6E81">
        <w:rPr>
          <w:rFonts w:cs="Arial"/>
          <w:lang w:val="es-ES"/>
        </w:rPr>
        <w:t>La Directiva de Seguridad en las Máquinas (MD) 2006/42/EC es de aplicación a la mayor parte de las máquinas, excepto a ciertos tipos especiales que están específicamente excluidos.</w:t>
      </w:r>
    </w:p>
    <w:p w:rsidR="001C6E81" w:rsidRPr="001C6E81" w:rsidRDefault="001C6E81" w:rsidP="00EA24AB">
      <w:pPr>
        <w:jc w:val="both"/>
        <w:rPr>
          <w:rFonts w:cs="Arial"/>
          <w:lang w:val="es-ES"/>
        </w:rPr>
      </w:pPr>
    </w:p>
    <w:p w:rsidR="001C6E81" w:rsidRPr="001C6E81" w:rsidRDefault="001C6E81" w:rsidP="00EA24AB">
      <w:pPr>
        <w:jc w:val="both"/>
        <w:rPr>
          <w:rFonts w:cs="Arial"/>
          <w:lang w:val="es-ES"/>
        </w:rPr>
      </w:pPr>
      <w:r w:rsidRPr="001C6E81">
        <w:rPr>
          <w:rFonts w:cs="Arial"/>
          <w:lang w:val="es-ES"/>
        </w:rPr>
        <w:t xml:space="preserve">La versión actual (que ha reemplazado a la versión anterior 98/37/EC) establece expresamente que la Aparamenta de Alta Tensión y los Transformadores están excluidos del alcance de la MD. El artículo 1.2 dice textualmente: </w:t>
      </w:r>
      <w:r w:rsidRPr="00832DBE">
        <w:rPr>
          <w:rFonts w:cs="Arial"/>
          <w:color w:val="FF0000"/>
          <w:lang w:val="es-ES"/>
        </w:rPr>
        <w:t>“Quedan excluidos del ámbito de aplicación de la presente Directiva:”</w:t>
      </w:r>
      <w:r w:rsidRPr="001C6E81">
        <w:rPr>
          <w:rFonts w:cs="Arial"/>
          <w:lang w:val="es-ES"/>
        </w:rPr>
        <w:t xml:space="preserve">, y detalla, en el apartado l): “los siguientes equipos eléctricos de alta tensión: - </w:t>
      </w:r>
      <w:r w:rsidRPr="00832DBE">
        <w:rPr>
          <w:rFonts w:cs="Arial"/>
          <w:color w:val="FF0000"/>
          <w:lang w:val="es-ES"/>
        </w:rPr>
        <w:t>aparatos de conexión y de mando. - transformadores</w:t>
      </w:r>
      <w:r w:rsidRPr="001C6E81">
        <w:rPr>
          <w:rFonts w:cs="Arial"/>
          <w:lang w:val="es-ES"/>
        </w:rPr>
        <w:t>.”.</w:t>
      </w:r>
    </w:p>
    <w:p w:rsidR="00AF2A62" w:rsidRDefault="00AF2A62" w:rsidP="00EA24AB">
      <w:pPr>
        <w:jc w:val="both"/>
        <w:rPr>
          <w:lang w:val="es-ES"/>
        </w:rPr>
      </w:pPr>
    </w:p>
    <w:p w:rsidR="002C755B" w:rsidRPr="001C6E81" w:rsidRDefault="002C755B" w:rsidP="00D465DB">
      <w:pPr>
        <w:pStyle w:val="Ttulo3"/>
        <w:rPr>
          <w:lang w:val="es-ES"/>
        </w:rPr>
      </w:pPr>
      <w:r>
        <w:rPr>
          <w:lang w:val="es-ES"/>
        </w:rPr>
        <w:lastRenderedPageBreak/>
        <w:t xml:space="preserve">Novedades </w:t>
      </w:r>
      <w:r w:rsidR="006F1B1A">
        <w:rPr>
          <w:lang w:val="es-ES"/>
        </w:rPr>
        <w:t>Septiembre</w:t>
      </w:r>
      <w:r w:rsidR="00F203F5">
        <w:rPr>
          <w:lang w:val="es-ES"/>
        </w:rPr>
        <w:t>’2014</w:t>
      </w:r>
    </w:p>
    <w:p w:rsidR="002C755B" w:rsidRPr="00DE68EF" w:rsidRDefault="00F203F5" w:rsidP="00614F18">
      <w:pPr>
        <w:pStyle w:val="Prrafodelista"/>
        <w:numPr>
          <w:ilvl w:val="0"/>
          <w:numId w:val="3"/>
        </w:numPr>
        <w:jc w:val="both"/>
        <w:rPr>
          <w:lang w:val="es-ES"/>
        </w:rPr>
      </w:pPr>
      <w:r>
        <w:rPr>
          <w:lang w:val="es-ES"/>
        </w:rPr>
        <w:t>Sin novedades desde la publicación de la guía de aplicación (2ª edición – 2010)</w:t>
      </w:r>
    </w:p>
    <w:p w:rsidR="002C755B" w:rsidRPr="001C6E81" w:rsidRDefault="002C755B" w:rsidP="00EA24AB">
      <w:pPr>
        <w:jc w:val="both"/>
        <w:rPr>
          <w:lang w:val="es-ES"/>
        </w:rPr>
      </w:pPr>
    </w:p>
    <w:p w:rsidR="00AF2A62" w:rsidRDefault="0094485C" w:rsidP="00D465DB">
      <w:pPr>
        <w:pStyle w:val="Ttulo2"/>
        <w:tabs>
          <w:tab w:val="clear" w:pos="0"/>
          <w:tab w:val="num" w:pos="851"/>
        </w:tabs>
        <w:ind w:left="851" w:hanging="851"/>
        <w:jc w:val="both"/>
        <w:rPr>
          <w:b w:val="0"/>
          <w:i w:val="0"/>
          <w:lang w:val="es-ES"/>
        </w:rPr>
      </w:pPr>
      <w:bookmarkStart w:id="5" w:name="_Toc404614845"/>
      <w:r>
        <w:rPr>
          <w:b w:val="0"/>
          <w:i w:val="0"/>
          <w:lang w:val="es-ES"/>
        </w:rPr>
        <w:t xml:space="preserve">EMCD - </w:t>
      </w:r>
      <w:r w:rsidR="00297FA0" w:rsidRPr="00D465DB">
        <w:rPr>
          <w:b w:val="0"/>
          <w:i w:val="0"/>
          <w:lang w:val="es-ES"/>
        </w:rPr>
        <w:t>Directiva de compatibilidad electromagnética</w:t>
      </w:r>
      <w:r w:rsidR="00AF2A62" w:rsidRPr="00D465DB">
        <w:rPr>
          <w:b w:val="0"/>
          <w:i w:val="0"/>
          <w:lang w:val="es-ES"/>
        </w:rPr>
        <w:t xml:space="preserve"> </w:t>
      </w:r>
      <w:r w:rsidR="00A767EA" w:rsidRPr="00A767EA">
        <w:rPr>
          <w:b w:val="0"/>
          <w:i w:val="0"/>
          <w:color w:val="FF0000"/>
          <w:lang w:val="es-ES"/>
        </w:rPr>
        <w:t>2014/34/EU</w:t>
      </w:r>
      <w:r w:rsidR="00A767EA">
        <w:rPr>
          <w:b w:val="0"/>
          <w:i w:val="0"/>
          <w:color w:val="FF0000"/>
          <w:lang w:val="es-ES"/>
        </w:rPr>
        <w:t xml:space="preserve"> (nueva referencia!)</w:t>
      </w:r>
      <w:bookmarkEnd w:id="5"/>
    </w:p>
    <w:p w:rsidR="00DA503B" w:rsidRPr="00DA503B" w:rsidRDefault="00F5022D" w:rsidP="00DA503B">
      <w:pPr>
        <w:pStyle w:val="Prrafodelista"/>
        <w:numPr>
          <w:ilvl w:val="0"/>
          <w:numId w:val="3"/>
        </w:numPr>
        <w:rPr>
          <w:lang w:val="es-ES"/>
        </w:rPr>
      </w:pPr>
      <w:hyperlink r:id="rId16" w:history="1">
        <w:r w:rsidR="00DA503B" w:rsidRPr="00DA503B">
          <w:rPr>
            <w:rStyle w:val="Hipervnculo"/>
            <w:lang w:val="es-ES"/>
          </w:rPr>
          <w:t>http://ec.europa.eu/enterprise/sectors/electrical/documents/emc/legislation/</w:t>
        </w:r>
      </w:hyperlink>
    </w:p>
    <w:p w:rsidR="00DA503B" w:rsidRPr="00DA503B" w:rsidRDefault="00DA503B" w:rsidP="00DA503B">
      <w:pPr>
        <w:rPr>
          <w:lang w:val="es-ES"/>
        </w:rPr>
      </w:pPr>
    </w:p>
    <w:p w:rsidR="00887FD1" w:rsidRPr="001C6E81" w:rsidRDefault="00887FD1" w:rsidP="00EA24AB">
      <w:pPr>
        <w:jc w:val="both"/>
        <w:rPr>
          <w:rFonts w:cs="Arial"/>
          <w:lang w:val="es-ES"/>
        </w:rPr>
      </w:pPr>
      <w:r w:rsidRPr="001C6E81">
        <w:rPr>
          <w:rFonts w:cs="Arial"/>
          <w:lang w:val="es-ES"/>
        </w:rPr>
        <w:t xml:space="preserve">La Directiva de Compatibilidad Electromagnética (EMCD) 2004/108/EC es de aplicación a la práctica totalidad de los equipos eléctricos. Específicamente, las </w:t>
      </w:r>
      <w:r w:rsidRPr="00832DBE">
        <w:rPr>
          <w:rFonts w:cs="Arial"/>
          <w:color w:val="FF0000"/>
          <w:lang w:val="es-ES"/>
        </w:rPr>
        <w:t>instalaciones eléctricas de alta tensión son instalaciones fijas</w:t>
      </w:r>
      <w:r w:rsidRPr="001C6E81">
        <w:rPr>
          <w:rFonts w:cs="Arial"/>
          <w:lang w:val="es-ES"/>
        </w:rPr>
        <w:t xml:space="preserve">. Por ello, pese a que las instalaciones de alta tensión están sujetas a los requisitos esenciales de la Directiva, </w:t>
      </w:r>
      <w:r w:rsidRPr="00832DBE">
        <w:rPr>
          <w:rFonts w:cs="Arial"/>
          <w:color w:val="FF0000"/>
          <w:lang w:val="es-ES"/>
        </w:rPr>
        <w:t>no existe la necesidad del marcado CE</w:t>
      </w:r>
      <w:r w:rsidRPr="001C6E81">
        <w:rPr>
          <w:rFonts w:cs="Arial"/>
          <w:lang w:val="es-ES"/>
        </w:rPr>
        <w:t>, ni de una declaración CE de conformidad, ni de la implicación de un organismo notificado.</w:t>
      </w:r>
    </w:p>
    <w:p w:rsidR="00887FD1" w:rsidRPr="001C6E81" w:rsidRDefault="00887FD1" w:rsidP="00EA24AB">
      <w:pPr>
        <w:jc w:val="both"/>
        <w:rPr>
          <w:rFonts w:cs="Arial"/>
          <w:lang w:val="es-ES"/>
        </w:rPr>
      </w:pPr>
    </w:p>
    <w:p w:rsidR="00887FD1" w:rsidRDefault="00887FD1" w:rsidP="00EA24AB">
      <w:pPr>
        <w:jc w:val="both"/>
        <w:rPr>
          <w:rFonts w:cs="Arial"/>
          <w:lang w:val="es-ES"/>
        </w:rPr>
      </w:pPr>
      <w:r w:rsidRPr="001C6E81">
        <w:rPr>
          <w:rFonts w:cs="Arial"/>
          <w:lang w:val="es-ES"/>
        </w:rPr>
        <w:t xml:space="preserve">Respecto a los elementos constitutivos de una instalación eléctrica de alta tensión, como la Aparamenta de Alta Tensión, o los Transformadores, éstos pueden considerarse como aparatos </w:t>
      </w:r>
      <w:r w:rsidRPr="00832DBE">
        <w:rPr>
          <w:rFonts w:cs="Arial"/>
          <w:color w:val="FF0000"/>
          <w:lang w:val="es-ES"/>
        </w:rPr>
        <w:t>destinados a incorporarse a una instalación fija determinada</w:t>
      </w:r>
      <w:r w:rsidRPr="001C6E81">
        <w:rPr>
          <w:rFonts w:cs="Arial"/>
          <w:lang w:val="es-ES"/>
        </w:rPr>
        <w:t>. Por tanto, no hay necesidad de marcado CE, ni de declaración CE de conformidad, ni de la implicación de un organismo notificado.</w:t>
      </w:r>
    </w:p>
    <w:p w:rsidR="00A84A90" w:rsidRPr="001C6E81" w:rsidRDefault="00A84A90" w:rsidP="00EA24AB">
      <w:pPr>
        <w:jc w:val="both"/>
        <w:rPr>
          <w:rFonts w:cs="Arial"/>
          <w:lang w:val="es-ES"/>
        </w:rPr>
      </w:pPr>
    </w:p>
    <w:p w:rsidR="00A84A90" w:rsidRPr="001C6E81" w:rsidRDefault="00A84A90" w:rsidP="00D465DB">
      <w:pPr>
        <w:pStyle w:val="Ttulo3"/>
        <w:rPr>
          <w:lang w:val="es-ES"/>
        </w:rPr>
      </w:pPr>
      <w:r>
        <w:rPr>
          <w:lang w:val="es-ES"/>
        </w:rPr>
        <w:t xml:space="preserve">Novedades </w:t>
      </w:r>
      <w:r w:rsidR="00A767EA">
        <w:rPr>
          <w:lang w:val="es-ES"/>
        </w:rPr>
        <w:t>Noviembre’2014</w:t>
      </w:r>
    </w:p>
    <w:p w:rsidR="00A767EA" w:rsidRPr="005C6C22" w:rsidRDefault="00A767EA" w:rsidP="00614F18">
      <w:pPr>
        <w:pStyle w:val="Prrafodelista"/>
        <w:numPr>
          <w:ilvl w:val="0"/>
          <w:numId w:val="3"/>
        </w:numPr>
        <w:jc w:val="both"/>
        <w:rPr>
          <w:lang w:val="es-ES"/>
        </w:rPr>
      </w:pPr>
      <w:r w:rsidRPr="005C6C22">
        <w:rPr>
          <w:lang w:val="es-ES"/>
        </w:rPr>
        <w:t>La última guía de aplicación se publicó en 2010, haciendo referencia a la “antigua” directiva 2004/108/EC</w:t>
      </w:r>
    </w:p>
    <w:p w:rsidR="00A767EA" w:rsidRPr="005C6C22" w:rsidRDefault="00A767EA" w:rsidP="00614F18">
      <w:pPr>
        <w:pStyle w:val="Prrafodelista"/>
        <w:numPr>
          <w:ilvl w:val="0"/>
          <w:numId w:val="3"/>
        </w:numPr>
        <w:jc w:val="both"/>
        <w:rPr>
          <w:lang w:val="es-ES"/>
        </w:rPr>
      </w:pPr>
      <w:r w:rsidRPr="005C6C22">
        <w:rPr>
          <w:lang w:val="es-ES"/>
        </w:rPr>
        <w:t>La nueva directiva alineada con el NLF, se publicó en Marzo’2014, con la referencia 2014/34/EU</w:t>
      </w:r>
    </w:p>
    <w:p w:rsidR="006F1B1A" w:rsidRPr="005C6C22" w:rsidRDefault="00A767EA" w:rsidP="00614F18">
      <w:pPr>
        <w:pStyle w:val="Prrafodelista"/>
        <w:numPr>
          <w:ilvl w:val="1"/>
          <w:numId w:val="3"/>
        </w:numPr>
        <w:rPr>
          <w:lang w:val="es-ES"/>
        </w:rPr>
      </w:pPr>
      <w:r w:rsidRPr="005C6C22">
        <w:rPr>
          <w:lang w:val="es-ES"/>
        </w:rPr>
        <w:t>No afec</w:t>
      </w:r>
      <w:r w:rsidR="00EF0649" w:rsidRPr="005C6C22">
        <w:rPr>
          <w:lang w:val="es-ES"/>
        </w:rPr>
        <w:t>ta al contenido “técnico” de la directiva</w:t>
      </w:r>
    </w:p>
    <w:p w:rsidR="002A0D44" w:rsidRPr="005C6C22" w:rsidRDefault="002A0D44" w:rsidP="002A0D44">
      <w:pPr>
        <w:pStyle w:val="Prrafodelista"/>
        <w:numPr>
          <w:ilvl w:val="2"/>
          <w:numId w:val="3"/>
        </w:numPr>
        <w:rPr>
          <w:lang w:val="es-ES"/>
        </w:rPr>
      </w:pPr>
      <w:r w:rsidRPr="005C6C22">
        <w:rPr>
          <w:lang w:val="es-ES"/>
        </w:rPr>
        <w:t>Se han simplificado los procedimientos de vigilancia de mercado</w:t>
      </w:r>
    </w:p>
    <w:p w:rsidR="002A0D44" w:rsidRPr="005C6C22" w:rsidRDefault="002A0D44" w:rsidP="002A0D44">
      <w:pPr>
        <w:pStyle w:val="Prrafodelista"/>
        <w:numPr>
          <w:ilvl w:val="2"/>
          <w:numId w:val="3"/>
        </w:numPr>
        <w:rPr>
          <w:lang w:val="es-ES"/>
        </w:rPr>
      </w:pPr>
      <w:r w:rsidRPr="005C6C22">
        <w:rPr>
          <w:lang w:val="es-ES"/>
        </w:rPr>
        <w:lastRenderedPageBreak/>
        <w:t>La definición de “normas armonizadas” ha cambiado, y ahora hace referencia al Reglamento 1025/2012 sobre “European Standardisation”</w:t>
      </w:r>
    </w:p>
    <w:p w:rsidR="002A0D44" w:rsidRPr="005C6C22" w:rsidRDefault="002A0D44" w:rsidP="00614F18">
      <w:pPr>
        <w:pStyle w:val="Prrafodelista"/>
        <w:numPr>
          <w:ilvl w:val="1"/>
          <w:numId w:val="3"/>
        </w:numPr>
        <w:rPr>
          <w:lang w:val="es-ES"/>
        </w:rPr>
      </w:pPr>
      <w:r w:rsidRPr="005C6C22">
        <w:rPr>
          <w:lang w:val="es-ES"/>
        </w:rPr>
        <w:t>Las nuevas directivas de acuerdo al NLF, entraron en vigor el 18 de ABRIL, y tienen la fecha de transposición de ABRIL DE 2016</w:t>
      </w:r>
    </w:p>
    <w:p w:rsidR="006F1B1A" w:rsidRPr="005C6C22" w:rsidRDefault="006F1B1A" w:rsidP="00614F18">
      <w:pPr>
        <w:pStyle w:val="Prrafodelista"/>
        <w:numPr>
          <w:ilvl w:val="1"/>
          <w:numId w:val="3"/>
        </w:numPr>
        <w:jc w:val="both"/>
        <w:rPr>
          <w:lang w:val="es-ES"/>
        </w:rPr>
      </w:pPr>
      <w:r w:rsidRPr="005C6C22">
        <w:rPr>
          <w:lang w:val="es-ES"/>
        </w:rPr>
        <w:t>Más información</w:t>
      </w:r>
      <w:r w:rsidR="00886EF8" w:rsidRPr="005C6C22">
        <w:rPr>
          <w:lang w:val="es-ES"/>
        </w:rPr>
        <w:t xml:space="preserve"> sobre el NLF</w:t>
      </w:r>
      <w:r w:rsidRPr="005C6C22">
        <w:rPr>
          <w:lang w:val="es-ES"/>
        </w:rPr>
        <w:t xml:space="preserve"> en el punto 3.1</w:t>
      </w:r>
    </w:p>
    <w:p w:rsidR="002A0D44" w:rsidRPr="002A0D44" w:rsidRDefault="002A0D44" w:rsidP="00411495">
      <w:pPr>
        <w:pStyle w:val="Prrafodelista"/>
        <w:numPr>
          <w:ilvl w:val="0"/>
          <w:numId w:val="17"/>
        </w:numPr>
        <w:rPr>
          <w:lang w:val="es-ES"/>
        </w:rPr>
      </w:pPr>
      <w:r w:rsidRPr="002A0D44">
        <w:rPr>
          <w:lang w:val="es-ES"/>
        </w:rPr>
        <w:t>La EC ha organizado un semi</w:t>
      </w:r>
      <w:r w:rsidR="00A4037C">
        <w:rPr>
          <w:lang w:val="es-ES"/>
        </w:rPr>
        <w:t>nario sobre la “nueva” directiva</w:t>
      </w:r>
      <w:r w:rsidRPr="002A0D44">
        <w:rPr>
          <w:lang w:val="es-ES"/>
        </w:rPr>
        <w:t xml:space="preserve"> para el</w:t>
      </w:r>
      <w:r>
        <w:rPr>
          <w:lang w:val="es-ES"/>
        </w:rPr>
        <w:t xml:space="preserve"> </w:t>
      </w:r>
      <w:r w:rsidRPr="002A0D44">
        <w:rPr>
          <w:lang w:val="es-ES"/>
        </w:rPr>
        <w:t>28-noviembre</w:t>
      </w:r>
    </w:p>
    <w:p w:rsidR="003961B9" w:rsidRDefault="003961B9" w:rsidP="00411495">
      <w:pPr>
        <w:pStyle w:val="Prrafodelista"/>
        <w:numPr>
          <w:ilvl w:val="0"/>
          <w:numId w:val="17"/>
        </w:numPr>
        <w:rPr>
          <w:lang w:val="en-US"/>
        </w:rPr>
      </w:pPr>
      <w:r>
        <w:rPr>
          <w:lang w:val="en-US"/>
        </w:rPr>
        <w:t>CENELEC publicó en Mayo de 2013 un informe titulado “</w:t>
      </w:r>
      <w:r w:rsidRPr="003961B9">
        <w:rPr>
          <w:lang w:val="en-US"/>
        </w:rPr>
        <w:t>Study Report on Electromagnetic Interference between Electrical Equipment/Systems in the Frequency Range Below 150 kHz Ed. 2</w:t>
      </w:r>
      <w:r>
        <w:rPr>
          <w:lang w:val="en-US"/>
        </w:rPr>
        <w:t>”</w:t>
      </w:r>
    </w:p>
    <w:p w:rsidR="00C525EA" w:rsidRPr="00C525EA" w:rsidRDefault="00C525EA" w:rsidP="00411495">
      <w:pPr>
        <w:pStyle w:val="Prrafodelista"/>
        <w:numPr>
          <w:ilvl w:val="1"/>
          <w:numId w:val="17"/>
        </w:numPr>
        <w:rPr>
          <w:lang w:val="es-ES"/>
        </w:rPr>
      </w:pPr>
      <w:r w:rsidRPr="00C525EA">
        <w:rPr>
          <w:lang w:val="es-ES"/>
        </w:rPr>
        <w:t>El informe indica que la creciente utilizaci</w:t>
      </w:r>
      <w:r>
        <w:rPr>
          <w:lang w:val="es-ES"/>
        </w:rPr>
        <w:t>ón de “sistemas” que presentan interferencias electromagnéticas exige “soluciones” …. Como resultado de discusiones “horizontales”</w:t>
      </w:r>
    </w:p>
    <w:p w:rsidR="009663D1" w:rsidRPr="009663D1" w:rsidRDefault="009663D1" w:rsidP="00EA24AB">
      <w:pPr>
        <w:jc w:val="both"/>
        <w:rPr>
          <w:lang w:val="en-US"/>
        </w:rPr>
      </w:pPr>
    </w:p>
    <w:p w:rsidR="00AF2A62" w:rsidRPr="00D465DB" w:rsidRDefault="0094485C" w:rsidP="00D465DB">
      <w:pPr>
        <w:pStyle w:val="Ttulo2"/>
        <w:tabs>
          <w:tab w:val="clear" w:pos="0"/>
          <w:tab w:val="num" w:pos="851"/>
        </w:tabs>
        <w:ind w:left="851" w:hanging="851"/>
        <w:jc w:val="both"/>
        <w:rPr>
          <w:b w:val="0"/>
          <w:i w:val="0"/>
          <w:lang w:val="es-ES"/>
        </w:rPr>
      </w:pPr>
      <w:bookmarkStart w:id="6" w:name="_Toc404614846"/>
      <w:r>
        <w:rPr>
          <w:b w:val="0"/>
          <w:i w:val="0"/>
          <w:lang w:val="es-ES"/>
        </w:rPr>
        <w:t xml:space="preserve">LVD - </w:t>
      </w:r>
      <w:r w:rsidR="00297FA0" w:rsidRPr="00D465DB">
        <w:rPr>
          <w:b w:val="0"/>
          <w:i w:val="0"/>
          <w:lang w:val="es-ES"/>
        </w:rPr>
        <w:t>Directiva de baja tensión</w:t>
      </w:r>
      <w:r w:rsidR="00AF2A62" w:rsidRPr="00D465DB">
        <w:rPr>
          <w:b w:val="0"/>
          <w:i w:val="0"/>
          <w:lang w:val="es-ES"/>
        </w:rPr>
        <w:t xml:space="preserve"> </w:t>
      </w:r>
      <w:r w:rsidR="005C6C22" w:rsidRPr="005C6C22">
        <w:rPr>
          <w:b w:val="0"/>
          <w:i w:val="0"/>
          <w:color w:val="FF0000"/>
          <w:lang w:val="es-ES"/>
        </w:rPr>
        <w:t>2014/35/EU (nueva referencia!)</w:t>
      </w:r>
      <w:bookmarkEnd w:id="6"/>
    </w:p>
    <w:p w:rsidR="00887FD1" w:rsidRPr="001C6E81" w:rsidRDefault="00887FD1" w:rsidP="00EA24AB">
      <w:pPr>
        <w:jc w:val="both"/>
        <w:rPr>
          <w:rFonts w:cs="Arial"/>
          <w:lang w:val="es-ES"/>
        </w:rPr>
      </w:pPr>
      <w:r w:rsidRPr="001C6E81">
        <w:rPr>
          <w:rFonts w:cs="Arial"/>
          <w:lang w:val="es-ES"/>
        </w:rPr>
        <w:t>La versión actual de la Directiva de Baja Tensión fue publicada el 27 de diciembre de 2006, y sustituyó a la versión anterior 73/23/EEC, pero ha mantenido el mismo contenido. Por tanto, no habrá nueva legislación nacional basada en la actual revisión.</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 xml:space="preserve">La Directiva de Baja Tensión es de aplicación a equipos de baja tensión (sujetos a ciertos límites de tensión), que también se utilizan en Aparamenta de Alta Tensión, como circuitos de control, relés de protección, elementos de medida, bloques de terminales, etc. </w:t>
      </w:r>
      <w:r w:rsidRPr="00832DBE">
        <w:rPr>
          <w:rFonts w:cs="Arial"/>
          <w:color w:val="FF0000"/>
          <w:lang w:val="es-ES"/>
        </w:rPr>
        <w:t>Estos elementos, cuando son obtenidos del mercado, deben cumplir con la Directiva LVD y llevar el marcado CE</w:t>
      </w:r>
      <w:r w:rsidRPr="001C6E81">
        <w:rPr>
          <w:rFonts w:cs="Arial"/>
          <w:lang w:val="es-ES"/>
        </w:rPr>
        <w:t>.</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 xml:space="preserve">Sin embargo, la Aparamenta eléctrica de Alta Tensión NO llevará el marcado CE en relación con esta Directiva LVD, porque </w:t>
      </w:r>
      <w:r w:rsidRPr="001C6E81">
        <w:rPr>
          <w:rFonts w:cs="Arial"/>
          <w:lang w:val="es-ES"/>
        </w:rPr>
        <w:lastRenderedPageBreak/>
        <w:t xml:space="preserve">sería ilegal dado que </w:t>
      </w:r>
      <w:r w:rsidRPr="00832DBE">
        <w:rPr>
          <w:rFonts w:cs="Arial"/>
          <w:color w:val="FF0000"/>
          <w:lang w:val="es-ES"/>
        </w:rPr>
        <w:t>los productos de alta tensión están fuera de su campo de aplicación</w:t>
      </w:r>
      <w:r w:rsidRPr="001C6E81">
        <w:rPr>
          <w:rFonts w:cs="Arial"/>
          <w:lang w:val="es-ES"/>
        </w:rPr>
        <w:t>.</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Actualmente la Directiva LVD está bajo revisión a fin de alinearla con los requisitos del Nuevo Marco Legislativo para la comercialización de productos (Propuesta de alineación de diez directivas de armonización de productos a la Decisión 768/2008), pero dada la naturaleza del rango de tensiones de aplicación (hasta 1000 V en corriente alterna y hasta 1500 V en corriente continua), esta Directiva continuará sin ser aplicable a la Aparamenta de Alta Tensión.</w:t>
      </w:r>
    </w:p>
    <w:p w:rsidR="00AF2A62" w:rsidRDefault="00AF2A62" w:rsidP="00EA24AB">
      <w:pPr>
        <w:jc w:val="both"/>
        <w:rPr>
          <w:lang w:val="es-ES"/>
        </w:rPr>
      </w:pPr>
    </w:p>
    <w:p w:rsidR="0070306D" w:rsidRDefault="00A63306" w:rsidP="0070306D">
      <w:pPr>
        <w:pStyle w:val="Ttulo3"/>
        <w:rPr>
          <w:lang w:val="es-ES"/>
        </w:rPr>
      </w:pPr>
      <w:r>
        <w:rPr>
          <w:lang w:val="es-ES"/>
        </w:rPr>
        <w:t>Novedades Noviembre</w:t>
      </w:r>
      <w:r w:rsidR="0070306D">
        <w:rPr>
          <w:lang w:val="es-ES"/>
        </w:rPr>
        <w:t>’2014</w:t>
      </w:r>
    </w:p>
    <w:p w:rsidR="005C6C22" w:rsidRPr="00A4037C" w:rsidRDefault="005C6C22" w:rsidP="00701800">
      <w:pPr>
        <w:pStyle w:val="Prrafodelista"/>
        <w:numPr>
          <w:ilvl w:val="0"/>
          <w:numId w:val="3"/>
        </w:numPr>
        <w:jc w:val="both"/>
        <w:rPr>
          <w:lang w:val="es-ES"/>
        </w:rPr>
      </w:pPr>
      <w:r w:rsidRPr="00A4037C">
        <w:rPr>
          <w:lang w:val="es-ES"/>
        </w:rPr>
        <w:t>La nueva directiva (</w:t>
      </w:r>
      <w:r w:rsidR="00A63306" w:rsidRPr="00A4037C">
        <w:rPr>
          <w:lang w:val="es-ES"/>
        </w:rPr>
        <w:t>2014/35/EU</w:t>
      </w:r>
      <w:r w:rsidRPr="00A4037C">
        <w:rPr>
          <w:lang w:val="es-ES"/>
        </w:rPr>
        <w:t>)</w:t>
      </w:r>
      <w:r w:rsidR="00A63306" w:rsidRPr="00A4037C">
        <w:rPr>
          <w:lang w:val="es-ES"/>
        </w:rPr>
        <w:t xml:space="preserve"> se publicó en Marzo:</w:t>
      </w:r>
    </w:p>
    <w:p w:rsidR="00A63306" w:rsidRPr="00A4037C" w:rsidRDefault="00A63306" w:rsidP="00A63306">
      <w:pPr>
        <w:pStyle w:val="Prrafodelista"/>
        <w:numPr>
          <w:ilvl w:val="1"/>
          <w:numId w:val="3"/>
        </w:numPr>
        <w:jc w:val="both"/>
        <w:rPr>
          <w:lang w:val="es-ES"/>
        </w:rPr>
      </w:pPr>
      <w:r w:rsidRPr="00A4037C">
        <w:rPr>
          <w:lang w:val="es-ES"/>
        </w:rPr>
        <w:t>NO afecta al contenido técnico de la directiva</w:t>
      </w:r>
    </w:p>
    <w:p w:rsidR="00A63306" w:rsidRPr="00A4037C" w:rsidRDefault="00A63306" w:rsidP="00A63306">
      <w:pPr>
        <w:pStyle w:val="Prrafodelista"/>
        <w:numPr>
          <w:ilvl w:val="1"/>
          <w:numId w:val="3"/>
        </w:numPr>
        <w:jc w:val="both"/>
        <w:rPr>
          <w:lang w:val="es-ES"/>
        </w:rPr>
      </w:pPr>
      <w:r w:rsidRPr="00A4037C">
        <w:rPr>
          <w:lang w:val="es-ES"/>
        </w:rPr>
        <w:t>Entró en vigor en Abril, y la fecha límite de transposición es Abril de 2016</w:t>
      </w:r>
    </w:p>
    <w:p w:rsidR="00A63306" w:rsidRPr="00A4037C" w:rsidRDefault="00A63306" w:rsidP="00A63306">
      <w:pPr>
        <w:pStyle w:val="Prrafodelista"/>
        <w:numPr>
          <w:ilvl w:val="0"/>
          <w:numId w:val="3"/>
        </w:numPr>
        <w:jc w:val="both"/>
        <w:rPr>
          <w:lang w:val="es-ES"/>
        </w:rPr>
      </w:pPr>
      <w:r w:rsidRPr="00A4037C">
        <w:rPr>
          <w:lang w:val="es-ES"/>
        </w:rPr>
        <w:t>La CE y los estados miembros han empezado la revisión de la guía de aplicación (que se publicó en 2007)</w:t>
      </w:r>
    </w:p>
    <w:p w:rsidR="00871795" w:rsidRPr="00A4037C" w:rsidRDefault="00701800" w:rsidP="00701800">
      <w:pPr>
        <w:pStyle w:val="Prrafodelista"/>
        <w:numPr>
          <w:ilvl w:val="0"/>
          <w:numId w:val="3"/>
        </w:numPr>
        <w:jc w:val="both"/>
        <w:rPr>
          <w:lang w:val="es-ES"/>
        </w:rPr>
      </w:pPr>
      <w:r w:rsidRPr="00A4037C">
        <w:rPr>
          <w:lang w:val="es-ES"/>
        </w:rPr>
        <w:t>Los transformadores con tensiones asignadas en ambos arrollamientos (AT y BT) inferiores a 1500 V, podrían estar incluidos en esta directiva al haber quedado fuera del campo de aplicación del Reglamento de la directiva 2009/125/EC</w:t>
      </w:r>
    </w:p>
    <w:p w:rsidR="00DE68EF" w:rsidRPr="00887FD1" w:rsidRDefault="00DE68EF" w:rsidP="00EA24AB">
      <w:pPr>
        <w:jc w:val="both"/>
        <w:rPr>
          <w:lang w:val="es-ES"/>
        </w:rPr>
      </w:pPr>
    </w:p>
    <w:p w:rsidR="00AF2A62" w:rsidRPr="00D465DB" w:rsidRDefault="0094485C" w:rsidP="00D465DB">
      <w:pPr>
        <w:pStyle w:val="Ttulo2"/>
        <w:tabs>
          <w:tab w:val="clear" w:pos="0"/>
          <w:tab w:val="num" w:pos="851"/>
        </w:tabs>
        <w:ind w:left="851" w:hanging="851"/>
        <w:jc w:val="both"/>
        <w:rPr>
          <w:b w:val="0"/>
          <w:i w:val="0"/>
          <w:lang w:val="es-ES"/>
        </w:rPr>
      </w:pPr>
      <w:bookmarkStart w:id="7" w:name="_Toc404614847"/>
      <w:r>
        <w:rPr>
          <w:b w:val="0"/>
          <w:i w:val="0"/>
          <w:lang w:val="es-ES"/>
        </w:rPr>
        <w:t xml:space="preserve">CPR - </w:t>
      </w:r>
      <w:r w:rsidR="00297FA0" w:rsidRPr="00D465DB">
        <w:rPr>
          <w:b w:val="0"/>
          <w:i w:val="0"/>
          <w:lang w:val="es-ES"/>
        </w:rPr>
        <w:t>Reglamento de productos de la construcción</w:t>
      </w:r>
      <w:r w:rsidR="00AF2A62" w:rsidRPr="00D465DB">
        <w:rPr>
          <w:b w:val="0"/>
          <w:i w:val="0"/>
          <w:lang w:val="es-ES"/>
        </w:rPr>
        <w:t xml:space="preserve"> </w:t>
      </w:r>
      <w:r w:rsidR="00012C17" w:rsidRPr="00D465DB">
        <w:rPr>
          <w:b w:val="0"/>
          <w:i w:val="0"/>
          <w:lang w:val="es-ES"/>
        </w:rPr>
        <w:t>305/2011</w:t>
      </w:r>
      <w:r w:rsidR="00AF2A62" w:rsidRPr="00D465DB">
        <w:rPr>
          <w:b w:val="0"/>
          <w:i w:val="0"/>
          <w:lang w:val="es-ES"/>
        </w:rPr>
        <w:t>/E</w:t>
      </w:r>
      <w:r w:rsidR="00012C17" w:rsidRPr="00D465DB">
        <w:rPr>
          <w:b w:val="0"/>
          <w:i w:val="0"/>
          <w:lang w:val="es-ES"/>
        </w:rPr>
        <w:t>C</w:t>
      </w:r>
      <w:bookmarkEnd w:id="7"/>
    </w:p>
    <w:p w:rsidR="00887FD1" w:rsidRPr="001C6E81" w:rsidRDefault="00DB1A2F" w:rsidP="00EA24AB">
      <w:pPr>
        <w:jc w:val="both"/>
        <w:rPr>
          <w:rFonts w:cs="Arial"/>
          <w:lang w:val="es-ES"/>
        </w:rPr>
      </w:pPr>
      <w:r>
        <w:rPr>
          <w:rFonts w:cs="Arial"/>
          <w:lang w:val="es-ES"/>
        </w:rPr>
        <w:t>Resul</w:t>
      </w:r>
      <w:r w:rsidR="003F2097">
        <w:rPr>
          <w:rFonts w:cs="Arial"/>
          <w:lang w:val="es-ES"/>
        </w:rPr>
        <w:t>ta</w:t>
      </w:r>
      <w:r>
        <w:rPr>
          <w:rFonts w:cs="Arial"/>
          <w:lang w:val="es-ES"/>
        </w:rPr>
        <w:t xml:space="preserve">do de la revisión de la </w:t>
      </w:r>
      <w:r w:rsidR="00887FD1" w:rsidRPr="001C6E81">
        <w:rPr>
          <w:rFonts w:cs="Arial"/>
          <w:lang w:val="es-ES"/>
        </w:rPr>
        <w:t xml:space="preserve">Directiva de Productos para la Construcción (CPD) 89/106/EEC </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La Aparamenta eléctrica de Alta Tensión no está incluida en el campo de aplicación de esta Directiva CPD.</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La Directiva clarifica su campo de aplicación de la siguiente forma:</w:t>
      </w:r>
    </w:p>
    <w:p w:rsidR="00887FD1" w:rsidRPr="001C6E81" w:rsidRDefault="00887FD1" w:rsidP="00EA24AB">
      <w:pPr>
        <w:jc w:val="both"/>
        <w:rPr>
          <w:rFonts w:cs="Arial"/>
          <w:lang w:val="es-ES"/>
        </w:rPr>
      </w:pPr>
      <w:r w:rsidRPr="001C6E81">
        <w:rPr>
          <w:rFonts w:cs="Arial"/>
          <w:lang w:val="es-ES"/>
        </w:rPr>
        <w:t>“Artículo 1</w:t>
      </w:r>
    </w:p>
    <w:p w:rsidR="00887FD1" w:rsidRPr="001C6E81" w:rsidRDefault="00887FD1" w:rsidP="00EA24AB">
      <w:pPr>
        <w:jc w:val="both"/>
        <w:rPr>
          <w:rFonts w:cs="Arial"/>
          <w:lang w:val="es-ES"/>
        </w:rPr>
      </w:pPr>
      <w:r w:rsidRPr="001C6E81">
        <w:rPr>
          <w:rFonts w:cs="Arial"/>
          <w:lang w:val="es-ES"/>
        </w:rPr>
        <w:t>...</w:t>
      </w:r>
    </w:p>
    <w:p w:rsidR="00887FD1" w:rsidRPr="001C6E81" w:rsidRDefault="00887FD1" w:rsidP="00EA24AB">
      <w:pPr>
        <w:jc w:val="both"/>
        <w:rPr>
          <w:rFonts w:cs="Arial"/>
          <w:lang w:val="es-ES"/>
        </w:rPr>
      </w:pPr>
      <w:r w:rsidRPr="001C6E81">
        <w:rPr>
          <w:rFonts w:cs="Arial"/>
          <w:lang w:val="es-ES"/>
        </w:rPr>
        <w:lastRenderedPageBreak/>
        <w:t>2. A los efectos de la presente Directiva se entenderá por "producto de construcción" cualquier producto fabricado para su incorporación con carácter permanente a las obras de construcción, incluyendo tanto las de edificación como las de ingeniería civil.</w:t>
      </w:r>
      <w:r w:rsidRPr="001C6E81">
        <w:rPr>
          <w:rFonts w:cs="Arial"/>
          <w:lang w:val="es-ES"/>
        </w:rPr>
        <w:cr/>
      </w:r>
    </w:p>
    <w:p w:rsidR="00887FD1" w:rsidRPr="001C6E81" w:rsidRDefault="00887FD1" w:rsidP="00EA24AB">
      <w:pPr>
        <w:jc w:val="both"/>
        <w:rPr>
          <w:rFonts w:cs="Arial"/>
          <w:lang w:val="es-ES"/>
        </w:rPr>
      </w:pPr>
      <w:r w:rsidRPr="001C6E81">
        <w:rPr>
          <w:rFonts w:cs="Arial"/>
          <w:lang w:val="es-ES"/>
        </w:rPr>
        <w:t>...”</w:t>
      </w:r>
    </w:p>
    <w:p w:rsidR="00887FD1" w:rsidRPr="001C6E81" w:rsidRDefault="00887FD1" w:rsidP="00EA24AB">
      <w:pPr>
        <w:jc w:val="both"/>
        <w:rPr>
          <w:rFonts w:cs="Arial"/>
          <w:lang w:val="es-ES"/>
        </w:rPr>
      </w:pPr>
    </w:p>
    <w:p w:rsidR="00887FD1" w:rsidRPr="001C6E81" w:rsidRDefault="00887FD1" w:rsidP="00EA24AB">
      <w:pPr>
        <w:jc w:val="both"/>
        <w:rPr>
          <w:rFonts w:cs="Arial"/>
          <w:lang w:val="es-ES"/>
        </w:rPr>
      </w:pPr>
      <w:r w:rsidRPr="001C6E81">
        <w:rPr>
          <w:rFonts w:cs="Arial"/>
          <w:lang w:val="es-ES"/>
        </w:rPr>
        <w:t>La página web oficial de la Comisión Europea de la Directiva CPD  también define que “Incorporación de un producto con carácter permanente en una obra de construcción significa:</w:t>
      </w:r>
    </w:p>
    <w:p w:rsidR="00887FD1" w:rsidRPr="001C6E81" w:rsidRDefault="00887FD1" w:rsidP="00EA24AB">
      <w:pPr>
        <w:jc w:val="both"/>
        <w:rPr>
          <w:rFonts w:cs="Arial"/>
          <w:lang w:val="es-ES"/>
        </w:rPr>
      </w:pPr>
      <w:r w:rsidRPr="001C6E81">
        <w:rPr>
          <w:rFonts w:cs="Arial"/>
          <w:lang w:val="es-ES"/>
        </w:rPr>
        <w:t>- que su eliminación disminuye las prestaciones de la obra; y</w:t>
      </w:r>
    </w:p>
    <w:p w:rsidR="00887FD1" w:rsidRPr="001C6E81" w:rsidRDefault="00887FD1" w:rsidP="00EA24AB">
      <w:pPr>
        <w:jc w:val="both"/>
        <w:rPr>
          <w:rFonts w:cs="Arial"/>
          <w:lang w:val="es-ES"/>
        </w:rPr>
      </w:pPr>
      <w:r w:rsidRPr="001C6E81">
        <w:rPr>
          <w:rFonts w:cs="Arial"/>
          <w:lang w:val="es-ES"/>
        </w:rPr>
        <w:t xml:space="preserve">- que la retirada o el reemplazo del producto son operaciones que precisan de actividades de construcción.” </w:t>
      </w:r>
    </w:p>
    <w:p w:rsidR="00887FD1" w:rsidRPr="001C6E81" w:rsidRDefault="00887FD1" w:rsidP="00EA24AB">
      <w:pPr>
        <w:jc w:val="both"/>
        <w:rPr>
          <w:rFonts w:cs="Arial"/>
          <w:lang w:val="es-ES"/>
        </w:rPr>
      </w:pPr>
    </w:p>
    <w:p w:rsidR="00887FD1" w:rsidRPr="00832DBE" w:rsidRDefault="00887FD1" w:rsidP="00EA24AB">
      <w:pPr>
        <w:jc w:val="both"/>
        <w:rPr>
          <w:rFonts w:cs="Arial"/>
          <w:color w:val="FF0000"/>
          <w:lang w:val="es-ES"/>
        </w:rPr>
      </w:pPr>
      <w:r w:rsidRPr="00832DBE">
        <w:rPr>
          <w:rFonts w:cs="Arial"/>
          <w:color w:val="FF0000"/>
          <w:lang w:val="es-ES"/>
        </w:rPr>
        <w:t>Definitivamente no es este el caso de la Aparamenta de Alta Tensión ni de los Transformadores y, por tanto, se encuentran fuera del alcance de la Directiva CPD.</w:t>
      </w:r>
    </w:p>
    <w:p w:rsidR="00AF2A62" w:rsidRDefault="00AF2A62" w:rsidP="00EA24AB">
      <w:pPr>
        <w:jc w:val="both"/>
        <w:rPr>
          <w:lang w:val="es-ES"/>
        </w:rPr>
      </w:pPr>
    </w:p>
    <w:p w:rsidR="00DB1A2F" w:rsidRPr="001C6E81" w:rsidRDefault="00DB1A2F" w:rsidP="00D465DB">
      <w:pPr>
        <w:pStyle w:val="Ttulo3"/>
        <w:rPr>
          <w:lang w:val="es-ES"/>
        </w:rPr>
      </w:pPr>
      <w:r>
        <w:rPr>
          <w:lang w:val="es-ES"/>
        </w:rPr>
        <w:t xml:space="preserve">Novedades </w:t>
      </w:r>
      <w:r w:rsidR="00EB2C82">
        <w:rPr>
          <w:lang w:val="es-ES"/>
        </w:rPr>
        <w:t>Noviembre’2014</w:t>
      </w:r>
    </w:p>
    <w:p w:rsidR="00DB1A2F" w:rsidRPr="00EB2C82" w:rsidRDefault="00DB1A2F" w:rsidP="00614F18">
      <w:pPr>
        <w:pStyle w:val="Prrafodelista"/>
        <w:numPr>
          <w:ilvl w:val="0"/>
          <w:numId w:val="3"/>
        </w:numPr>
        <w:jc w:val="both"/>
        <w:rPr>
          <w:lang w:val="es-ES"/>
        </w:rPr>
      </w:pPr>
      <w:r w:rsidRPr="00EB2C82">
        <w:rPr>
          <w:lang w:val="es-ES"/>
        </w:rPr>
        <w:t>En vigor desde abril de 2011</w:t>
      </w:r>
    </w:p>
    <w:p w:rsidR="00DB1A2F" w:rsidRPr="00EB2C82" w:rsidRDefault="00012C17" w:rsidP="00614F18">
      <w:pPr>
        <w:pStyle w:val="Prrafodelista"/>
        <w:numPr>
          <w:ilvl w:val="0"/>
          <w:numId w:val="3"/>
        </w:numPr>
        <w:jc w:val="both"/>
        <w:rPr>
          <w:lang w:val="es-ES"/>
        </w:rPr>
      </w:pPr>
      <w:r w:rsidRPr="00EB2C82">
        <w:rPr>
          <w:lang w:val="es-ES"/>
        </w:rPr>
        <w:t>La aplicación del reglamento</w:t>
      </w:r>
      <w:r w:rsidR="00DB1A2F" w:rsidRPr="00EB2C82">
        <w:rPr>
          <w:lang w:val="es-ES"/>
        </w:rPr>
        <w:t xml:space="preserve"> </w:t>
      </w:r>
      <w:r w:rsidR="00C13232" w:rsidRPr="00EB2C82">
        <w:rPr>
          <w:lang w:val="es-ES"/>
        </w:rPr>
        <w:t>se hará en dos fases:</w:t>
      </w:r>
    </w:p>
    <w:p w:rsidR="00C13232" w:rsidRPr="00EB2C82" w:rsidRDefault="00C13232" w:rsidP="00614F18">
      <w:pPr>
        <w:pStyle w:val="Prrafodelista"/>
        <w:numPr>
          <w:ilvl w:val="1"/>
          <w:numId w:val="3"/>
        </w:numPr>
        <w:jc w:val="both"/>
        <w:rPr>
          <w:lang w:val="es-ES"/>
        </w:rPr>
      </w:pPr>
      <w:r w:rsidRPr="00EB2C82">
        <w:rPr>
          <w:lang w:val="es-ES"/>
        </w:rPr>
        <w:t>Hasta julio de 2013, llamada “preparation phase”, en donde las empresas se deben preparar para la aplicación de la directiva</w:t>
      </w:r>
    </w:p>
    <w:p w:rsidR="00C13232" w:rsidRPr="00EB2C82" w:rsidRDefault="00C13232" w:rsidP="00614F18">
      <w:pPr>
        <w:pStyle w:val="Prrafodelista"/>
        <w:numPr>
          <w:ilvl w:val="1"/>
          <w:numId w:val="3"/>
        </w:numPr>
        <w:jc w:val="both"/>
        <w:rPr>
          <w:lang w:val="es-ES"/>
        </w:rPr>
      </w:pPr>
      <w:r w:rsidRPr="00EB2C82">
        <w:rPr>
          <w:lang w:val="es-ES"/>
        </w:rPr>
        <w:t>A partir de Julio de 2013, llamada “operation phase”, donde empieza la aplicación del nuevo reglamento, con el marcado CE y demás elementos</w:t>
      </w:r>
    </w:p>
    <w:p w:rsidR="00DB1A2F" w:rsidRPr="00EB2C82" w:rsidRDefault="00DB1A2F" w:rsidP="00614F18">
      <w:pPr>
        <w:pStyle w:val="Prrafodelista"/>
        <w:numPr>
          <w:ilvl w:val="0"/>
          <w:numId w:val="3"/>
        </w:numPr>
        <w:jc w:val="both"/>
        <w:rPr>
          <w:lang w:val="es-ES"/>
        </w:rPr>
      </w:pPr>
      <w:r w:rsidRPr="00EB2C82">
        <w:rPr>
          <w:lang w:val="es-ES"/>
        </w:rPr>
        <w:t>En proceso de preparación de una guía de aplicación, sin demasiado convencimiento de la EC</w:t>
      </w:r>
    </w:p>
    <w:p w:rsidR="007B2740" w:rsidRPr="00EB2C82" w:rsidRDefault="00EB2C82" w:rsidP="007B2740">
      <w:pPr>
        <w:pStyle w:val="Prrafodelista"/>
        <w:numPr>
          <w:ilvl w:val="0"/>
          <w:numId w:val="3"/>
        </w:numPr>
        <w:jc w:val="both"/>
        <w:rPr>
          <w:lang w:val="es-ES"/>
        </w:rPr>
      </w:pPr>
      <w:r w:rsidRPr="00EB2C82">
        <w:rPr>
          <w:lang w:val="es-ES"/>
        </w:rPr>
        <w:t>L</w:t>
      </w:r>
      <w:r w:rsidR="00BD28DC" w:rsidRPr="00EB2C82">
        <w:rPr>
          <w:lang w:val="es-ES"/>
        </w:rPr>
        <w:t>a CE ha lanzado una “call for tender” con el objetivo de revisar el grado de implantación del reglamento, en el que se pretenden analizar los diferentes procedimientos legales y administrativos de cada EM, así como a nivel EU</w:t>
      </w:r>
    </w:p>
    <w:p w:rsidR="00EB2C82" w:rsidRPr="00EB2C82" w:rsidRDefault="00EB2C82" w:rsidP="007B2740">
      <w:pPr>
        <w:pStyle w:val="Prrafodelista"/>
        <w:numPr>
          <w:ilvl w:val="0"/>
          <w:numId w:val="3"/>
        </w:numPr>
        <w:jc w:val="both"/>
        <w:rPr>
          <w:lang w:val="es-ES"/>
        </w:rPr>
      </w:pPr>
      <w:r w:rsidRPr="00EB2C82">
        <w:rPr>
          <w:lang w:val="es-ES"/>
        </w:rPr>
        <w:t>En Agosto se ha publicado una nueva lista de normas armonizadas</w:t>
      </w:r>
    </w:p>
    <w:p w:rsidR="00EB2C82" w:rsidRPr="00EB2C82" w:rsidRDefault="00EB2C82" w:rsidP="007B2740">
      <w:pPr>
        <w:pStyle w:val="Prrafodelista"/>
        <w:numPr>
          <w:ilvl w:val="0"/>
          <w:numId w:val="3"/>
        </w:numPr>
        <w:jc w:val="both"/>
        <w:rPr>
          <w:lang w:val="es-ES"/>
        </w:rPr>
      </w:pPr>
      <w:r w:rsidRPr="00EB2C82">
        <w:rPr>
          <w:lang w:val="es-ES"/>
        </w:rPr>
        <w:t>Se ha actualizado la página FAQ de la CE</w:t>
      </w:r>
    </w:p>
    <w:p w:rsidR="00AF2A62" w:rsidRPr="00D465DB" w:rsidRDefault="0094485C" w:rsidP="00D465DB">
      <w:pPr>
        <w:pStyle w:val="Ttulo2"/>
        <w:tabs>
          <w:tab w:val="clear" w:pos="0"/>
          <w:tab w:val="num" w:pos="851"/>
        </w:tabs>
        <w:ind w:left="851" w:hanging="851"/>
        <w:jc w:val="both"/>
        <w:rPr>
          <w:b w:val="0"/>
          <w:i w:val="0"/>
          <w:lang w:val="es-ES"/>
        </w:rPr>
      </w:pPr>
      <w:bookmarkStart w:id="8" w:name="_Toc404614848"/>
      <w:r>
        <w:rPr>
          <w:b w:val="0"/>
          <w:i w:val="0"/>
          <w:lang w:val="es-ES"/>
        </w:rPr>
        <w:lastRenderedPageBreak/>
        <w:t xml:space="preserve">PED - </w:t>
      </w:r>
      <w:r w:rsidR="00297FA0" w:rsidRPr="00D465DB">
        <w:rPr>
          <w:b w:val="0"/>
          <w:i w:val="0"/>
          <w:lang w:val="es-ES"/>
        </w:rPr>
        <w:t>Directiva de equipos a presión</w:t>
      </w:r>
      <w:r w:rsidR="00AF2A62" w:rsidRPr="00D465DB">
        <w:rPr>
          <w:b w:val="0"/>
          <w:i w:val="0"/>
          <w:lang w:val="es-ES"/>
        </w:rPr>
        <w:t xml:space="preserve"> 97/23/EC</w:t>
      </w:r>
      <w:r w:rsidR="004E4F2E">
        <w:rPr>
          <w:b w:val="0"/>
          <w:i w:val="0"/>
          <w:lang w:val="es-ES"/>
        </w:rPr>
        <w:t xml:space="preserve"> </w:t>
      </w:r>
      <w:r w:rsidR="004E4F2E" w:rsidRPr="004E4F2E">
        <w:rPr>
          <w:b w:val="0"/>
          <w:i w:val="0"/>
          <w:color w:val="FF0000"/>
          <w:lang w:val="es-ES"/>
        </w:rPr>
        <w:t>(Nueva referencia 2014/68/EU)</w:t>
      </w:r>
      <w:bookmarkEnd w:id="8"/>
    </w:p>
    <w:p w:rsidR="004C0143" w:rsidRPr="001C6E81" w:rsidRDefault="004C0143" w:rsidP="00EA24AB">
      <w:pPr>
        <w:jc w:val="both"/>
        <w:rPr>
          <w:rFonts w:cs="Arial"/>
          <w:lang w:val="es-ES"/>
        </w:rPr>
      </w:pPr>
      <w:r w:rsidRPr="001C6E81">
        <w:rPr>
          <w:rFonts w:cs="Arial"/>
          <w:lang w:val="es-ES"/>
        </w:rPr>
        <w:t xml:space="preserve">La Directiva de Equipos a Presión (PED) 97/23/EC es de aplicación a todos los equipos con una presión interna superior a 0,5 bar. </w:t>
      </w:r>
    </w:p>
    <w:p w:rsidR="004C0143" w:rsidRPr="001C6E81" w:rsidRDefault="004C0143" w:rsidP="00EA24AB">
      <w:pPr>
        <w:jc w:val="both"/>
        <w:rPr>
          <w:rFonts w:cs="Arial"/>
          <w:lang w:val="es-ES"/>
        </w:rPr>
      </w:pPr>
    </w:p>
    <w:p w:rsidR="004C0143" w:rsidRPr="00832DBE" w:rsidRDefault="004C0143" w:rsidP="00EA24AB">
      <w:pPr>
        <w:jc w:val="both"/>
        <w:rPr>
          <w:rFonts w:cs="Arial"/>
          <w:color w:val="FF0000"/>
          <w:lang w:val="es-ES"/>
        </w:rPr>
      </w:pPr>
      <w:r w:rsidRPr="00832DBE">
        <w:rPr>
          <w:rFonts w:cs="Arial"/>
          <w:color w:val="FF0000"/>
          <w:lang w:val="es-ES"/>
        </w:rPr>
        <w:t>Las “envolventes” utilizadas en la Aparamenta de Alta Tensión están explícitamente excluidas en esta Directiva.</w:t>
      </w:r>
    </w:p>
    <w:p w:rsidR="004C0143" w:rsidRPr="001C6E81" w:rsidRDefault="004C0143" w:rsidP="00EA24AB">
      <w:pPr>
        <w:jc w:val="both"/>
        <w:rPr>
          <w:rFonts w:cs="Arial"/>
          <w:lang w:val="es-ES"/>
        </w:rPr>
      </w:pPr>
    </w:p>
    <w:p w:rsidR="004C0143" w:rsidRPr="001C6E81" w:rsidRDefault="004C0143" w:rsidP="00EA24AB">
      <w:pPr>
        <w:jc w:val="both"/>
        <w:rPr>
          <w:rFonts w:cs="Arial"/>
          <w:lang w:val="es-ES"/>
        </w:rPr>
      </w:pPr>
      <w:r w:rsidRPr="001C6E81">
        <w:rPr>
          <w:rFonts w:cs="Arial"/>
          <w:lang w:val="es-ES"/>
        </w:rPr>
        <w:t>El Artículo 1, 3 dice: “Lo siguiente está excluido del campo de aplicación de esta Directiva” y en 3. 12: “envolventes de equipo eléctrico de alta tensión tal como aparamenta, transformadores y máquinas rotativas”</w:t>
      </w:r>
    </w:p>
    <w:p w:rsidR="00AF2A62" w:rsidRDefault="00AF2A62" w:rsidP="00EA24AB">
      <w:pPr>
        <w:jc w:val="both"/>
        <w:rPr>
          <w:lang w:val="es-ES"/>
        </w:rPr>
      </w:pPr>
    </w:p>
    <w:p w:rsidR="00A83065" w:rsidRPr="001C6E81" w:rsidRDefault="00A83065" w:rsidP="00D465DB">
      <w:pPr>
        <w:pStyle w:val="Ttulo3"/>
        <w:rPr>
          <w:lang w:val="es-ES"/>
        </w:rPr>
      </w:pPr>
      <w:r>
        <w:rPr>
          <w:lang w:val="es-ES"/>
        </w:rPr>
        <w:t xml:space="preserve">Novedades </w:t>
      </w:r>
      <w:r w:rsidR="00AD6D36">
        <w:rPr>
          <w:lang w:val="es-ES"/>
        </w:rPr>
        <w:t>Noviembre’2014</w:t>
      </w:r>
    </w:p>
    <w:p w:rsidR="008F369B" w:rsidRPr="00DA6086" w:rsidRDefault="00F5022D" w:rsidP="008F369B">
      <w:pPr>
        <w:pStyle w:val="Textosinformato"/>
      </w:pPr>
      <w:hyperlink r:id="rId17" w:history="1">
        <w:r w:rsidR="008F369B" w:rsidRPr="00DA6086">
          <w:rPr>
            <w:rStyle w:val="Hipervnculo"/>
          </w:rPr>
          <w:t>http://ec.europa.eu/enterprise/sectors/pressure-and-gas/documents/ped/</w:t>
        </w:r>
      </w:hyperlink>
    </w:p>
    <w:p w:rsidR="004E4F2E" w:rsidRDefault="004E4F2E" w:rsidP="004E4F2E">
      <w:pPr>
        <w:pStyle w:val="Prrafodelista"/>
        <w:numPr>
          <w:ilvl w:val="0"/>
          <w:numId w:val="3"/>
        </w:numPr>
        <w:jc w:val="both"/>
        <w:rPr>
          <w:lang w:val="es-ES"/>
        </w:rPr>
      </w:pPr>
      <w:r>
        <w:rPr>
          <w:lang w:val="es-ES"/>
        </w:rPr>
        <w:t>La nueva directiva 2014/68/EU de mayo de 2014</w:t>
      </w:r>
    </w:p>
    <w:p w:rsidR="004E4F2E" w:rsidRPr="004E4F2E" w:rsidRDefault="004E4F2E" w:rsidP="004E4F2E">
      <w:pPr>
        <w:pStyle w:val="Prrafodelista"/>
        <w:numPr>
          <w:ilvl w:val="1"/>
          <w:numId w:val="3"/>
        </w:numPr>
        <w:jc w:val="both"/>
        <w:rPr>
          <w:lang w:val="en-US"/>
        </w:rPr>
      </w:pPr>
      <w:r w:rsidRPr="004E4F2E">
        <w:rPr>
          <w:lang w:val="en-US"/>
        </w:rPr>
        <w:t>Titulada “</w:t>
      </w:r>
      <w:r>
        <w:rPr>
          <w:lang w:val="en-US"/>
        </w:rPr>
        <w:t xml:space="preserve">Directive </w:t>
      </w:r>
      <w:r w:rsidRPr="004E4F2E">
        <w:rPr>
          <w:lang w:val="en-US"/>
        </w:rPr>
        <w:t>on the harmonisation of the laws of the Member States relating to the making available on the market of pressure equipment</w:t>
      </w:r>
      <w:r>
        <w:rPr>
          <w:lang w:val="en-US"/>
        </w:rPr>
        <w:t>”</w:t>
      </w:r>
    </w:p>
    <w:p w:rsidR="004E4F2E" w:rsidRPr="004E4F2E" w:rsidRDefault="004E4F2E" w:rsidP="004E4F2E">
      <w:pPr>
        <w:pStyle w:val="Prrafodelista"/>
        <w:numPr>
          <w:ilvl w:val="1"/>
          <w:numId w:val="3"/>
        </w:numPr>
        <w:jc w:val="both"/>
        <w:rPr>
          <w:lang w:val="es-ES"/>
        </w:rPr>
      </w:pPr>
      <w:r w:rsidRPr="004E4F2E">
        <w:rPr>
          <w:lang w:val="es-ES"/>
        </w:rPr>
        <w:t>Se revoca la directiv</w:t>
      </w:r>
      <w:r>
        <w:rPr>
          <w:lang w:val="es-ES"/>
        </w:rPr>
        <w:t>a</w:t>
      </w:r>
      <w:r w:rsidRPr="004E4F2E">
        <w:rPr>
          <w:lang w:val="es-ES"/>
        </w:rPr>
        <w:t xml:space="preserve"> 97/23/EC con efecto a partir de </w:t>
      </w:r>
      <w:r>
        <w:rPr>
          <w:lang w:val="es-ES"/>
        </w:rPr>
        <w:t>Julio de</w:t>
      </w:r>
      <w:r w:rsidRPr="004E4F2E">
        <w:rPr>
          <w:lang w:val="es-ES"/>
        </w:rPr>
        <w:t xml:space="preserve"> 2016</w:t>
      </w:r>
    </w:p>
    <w:p w:rsidR="004E4F2E" w:rsidRPr="004E4F2E" w:rsidRDefault="004E4F2E" w:rsidP="004E4F2E">
      <w:pPr>
        <w:pStyle w:val="Prrafodelista"/>
        <w:numPr>
          <w:ilvl w:val="1"/>
          <w:numId w:val="3"/>
        </w:numPr>
        <w:jc w:val="both"/>
        <w:rPr>
          <w:lang w:val="es-ES"/>
        </w:rPr>
      </w:pPr>
      <w:r w:rsidRPr="004E4F2E">
        <w:rPr>
          <w:lang w:val="es-ES"/>
        </w:rPr>
        <w:t xml:space="preserve">Se mantiene la </w:t>
      </w:r>
      <w:r>
        <w:rPr>
          <w:lang w:val="es-ES"/>
        </w:rPr>
        <w:t>exclusió</w:t>
      </w:r>
      <w:r w:rsidRPr="004E4F2E">
        <w:rPr>
          <w:lang w:val="es-ES"/>
        </w:rPr>
        <w:t>n de la aparamenta:</w:t>
      </w:r>
    </w:p>
    <w:p w:rsidR="004E4F2E" w:rsidRPr="004E4F2E" w:rsidRDefault="004E4F2E" w:rsidP="004E4F2E">
      <w:pPr>
        <w:pStyle w:val="Prrafodelista"/>
        <w:numPr>
          <w:ilvl w:val="2"/>
          <w:numId w:val="3"/>
        </w:numPr>
        <w:jc w:val="both"/>
        <w:rPr>
          <w:lang w:val="en-US"/>
        </w:rPr>
      </w:pPr>
      <w:r>
        <w:rPr>
          <w:lang w:val="en-US"/>
        </w:rPr>
        <w:t xml:space="preserve">Artículo 1.2 apartado </w:t>
      </w:r>
      <w:r w:rsidRPr="004E4F2E">
        <w:rPr>
          <w:lang w:val="en-US"/>
        </w:rPr>
        <w:t>(l) enclosures for high-voltage electrical equipment such as switchgear, control gear, transformers, and rotating machines;</w:t>
      </w:r>
    </w:p>
    <w:p w:rsidR="00AD6D36" w:rsidRDefault="00AD6D36" w:rsidP="00614F18">
      <w:pPr>
        <w:pStyle w:val="Prrafodelista"/>
        <w:numPr>
          <w:ilvl w:val="0"/>
          <w:numId w:val="3"/>
        </w:numPr>
        <w:jc w:val="both"/>
        <w:rPr>
          <w:color w:val="FF0000"/>
          <w:lang w:val="es-ES"/>
        </w:rPr>
      </w:pPr>
      <w:r>
        <w:rPr>
          <w:color w:val="FF0000"/>
          <w:lang w:val="es-ES"/>
        </w:rPr>
        <w:t>Hay un conjunto de directivas que afectan a equipos a presión:</w:t>
      </w:r>
    </w:p>
    <w:p w:rsidR="00AD6D36" w:rsidRDefault="00AD6D36" w:rsidP="00AD6D36">
      <w:pPr>
        <w:pStyle w:val="Prrafodelista"/>
        <w:numPr>
          <w:ilvl w:val="1"/>
          <w:numId w:val="3"/>
        </w:numPr>
        <w:jc w:val="both"/>
        <w:rPr>
          <w:color w:val="FF0000"/>
          <w:lang w:val="es-ES"/>
        </w:rPr>
      </w:pPr>
      <w:r>
        <w:rPr>
          <w:color w:val="FF0000"/>
          <w:lang w:val="es-ES"/>
        </w:rPr>
        <w:t>Simple pressure vessels (2009/105/EC)</w:t>
      </w:r>
    </w:p>
    <w:p w:rsidR="00AD6D36" w:rsidRDefault="00AD6D36" w:rsidP="00AD6D36">
      <w:pPr>
        <w:pStyle w:val="Prrafodelista"/>
        <w:numPr>
          <w:ilvl w:val="1"/>
          <w:numId w:val="3"/>
        </w:numPr>
        <w:jc w:val="both"/>
        <w:rPr>
          <w:color w:val="FF0000"/>
          <w:lang w:val="es-ES"/>
        </w:rPr>
      </w:pPr>
      <w:r>
        <w:rPr>
          <w:color w:val="FF0000"/>
          <w:lang w:val="es-ES"/>
        </w:rPr>
        <w:t>Transportable pressure equipment (99/36/EC)</w:t>
      </w:r>
    </w:p>
    <w:p w:rsidR="00AD6D36" w:rsidRPr="00D1114F" w:rsidRDefault="00AD6D36" w:rsidP="00AD6D36">
      <w:pPr>
        <w:pStyle w:val="Prrafodelista"/>
        <w:numPr>
          <w:ilvl w:val="1"/>
          <w:numId w:val="3"/>
        </w:numPr>
        <w:jc w:val="both"/>
        <w:rPr>
          <w:color w:val="FF0000"/>
          <w:lang w:val="es-ES"/>
        </w:rPr>
      </w:pPr>
      <w:r>
        <w:rPr>
          <w:color w:val="FF0000"/>
          <w:lang w:val="es-ES"/>
        </w:rPr>
        <w:t>Aerosol dispensers (75/324/EEC)</w:t>
      </w:r>
    </w:p>
    <w:p w:rsidR="008F369B" w:rsidRDefault="008F369B" w:rsidP="008F369B">
      <w:pPr>
        <w:pStyle w:val="Textosinformato"/>
      </w:pPr>
    </w:p>
    <w:p w:rsidR="00AF2A62" w:rsidRPr="00D465DB" w:rsidRDefault="0094485C" w:rsidP="00D465DB">
      <w:pPr>
        <w:pStyle w:val="Ttulo2"/>
        <w:tabs>
          <w:tab w:val="clear" w:pos="0"/>
          <w:tab w:val="num" w:pos="851"/>
        </w:tabs>
        <w:ind w:left="851" w:hanging="851"/>
        <w:jc w:val="both"/>
        <w:rPr>
          <w:b w:val="0"/>
          <w:i w:val="0"/>
          <w:lang w:val="es-ES"/>
        </w:rPr>
      </w:pPr>
      <w:bookmarkStart w:id="9" w:name="_Toc404614849"/>
      <w:r>
        <w:rPr>
          <w:b w:val="0"/>
          <w:i w:val="0"/>
          <w:lang w:val="es-ES"/>
        </w:rPr>
        <w:t xml:space="preserve">ERP - </w:t>
      </w:r>
      <w:r w:rsidR="001C6E81" w:rsidRPr="00D465DB">
        <w:rPr>
          <w:b w:val="0"/>
          <w:i w:val="0"/>
          <w:lang w:val="es-ES"/>
        </w:rPr>
        <w:t>Directiva de productos relacionados con la energía 2009/125</w:t>
      </w:r>
      <w:r w:rsidR="00AF2A62" w:rsidRPr="00D465DB">
        <w:rPr>
          <w:b w:val="0"/>
          <w:i w:val="0"/>
          <w:lang w:val="es-ES"/>
        </w:rPr>
        <w:t>/EC</w:t>
      </w:r>
      <w:r w:rsidR="00077F12">
        <w:rPr>
          <w:b w:val="0"/>
          <w:i w:val="0"/>
          <w:lang w:val="es-ES"/>
        </w:rPr>
        <w:t xml:space="preserve"> </w:t>
      </w:r>
      <w:r w:rsidR="00077F12" w:rsidRPr="00077F12">
        <w:rPr>
          <w:b w:val="0"/>
          <w:i w:val="0"/>
          <w:color w:val="FF0000"/>
          <w:lang w:val="es-ES"/>
        </w:rPr>
        <w:t xml:space="preserve">(Medida de </w:t>
      </w:r>
      <w:r w:rsidR="00077F12" w:rsidRPr="00077F12">
        <w:rPr>
          <w:b w:val="0"/>
          <w:i w:val="0"/>
          <w:color w:val="FF0000"/>
          <w:lang w:val="es-ES"/>
        </w:rPr>
        <w:lastRenderedPageBreak/>
        <w:t>aplicación a transformadores – Reglamento 548/2014 de Mayo de 2014)</w:t>
      </w:r>
      <w:bookmarkEnd w:id="9"/>
    </w:p>
    <w:p w:rsidR="004C0143" w:rsidRPr="001C6E81" w:rsidRDefault="004C0143" w:rsidP="00EA24AB">
      <w:pPr>
        <w:jc w:val="both"/>
        <w:rPr>
          <w:rFonts w:cs="Arial"/>
          <w:lang w:val="es-ES"/>
        </w:rPr>
      </w:pPr>
      <w:r w:rsidRPr="001C6E81">
        <w:rPr>
          <w:rFonts w:cs="Arial"/>
          <w:lang w:val="es-ES"/>
        </w:rPr>
        <w:t xml:space="preserve">Directiva de Productos que utilizan Energía (EuPD) 2005/32/EC </w:t>
      </w:r>
    </w:p>
    <w:p w:rsidR="004C0143" w:rsidRDefault="004C0143" w:rsidP="00EA24AB">
      <w:pPr>
        <w:jc w:val="both"/>
        <w:rPr>
          <w:rFonts w:cs="Arial"/>
          <w:lang w:val="es-ES"/>
        </w:rPr>
      </w:pPr>
    </w:p>
    <w:p w:rsidR="004C0143" w:rsidRPr="001C6E81" w:rsidRDefault="004C0143" w:rsidP="00EA24AB">
      <w:pPr>
        <w:jc w:val="both"/>
        <w:rPr>
          <w:rFonts w:cs="Arial"/>
          <w:lang w:val="es-ES"/>
        </w:rPr>
      </w:pPr>
      <w:r w:rsidRPr="001C6E81">
        <w:rPr>
          <w:rFonts w:cs="Arial"/>
          <w:lang w:val="es-ES"/>
        </w:rPr>
        <w:t xml:space="preserve">[El 21 de octubre de 2009 se aprobó la refundición de la Directiva EuP 2005/32/EC, extendiendo su alcance a todos los productos relacionados con la energía, y pasando a denominarse Directiva de Productos Relacionados con la Energía (ERPD) 2009/125/EC; que ha entrado en vigor el 20 de noviembre de 2010] </w:t>
      </w:r>
    </w:p>
    <w:p w:rsidR="004C0143" w:rsidRPr="001C6E81" w:rsidRDefault="004C0143" w:rsidP="00EA24AB">
      <w:pPr>
        <w:jc w:val="both"/>
        <w:rPr>
          <w:rFonts w:cs="Arial"/>
          <w:lang w:val="es-ES"/>
        </w:rPr>
      </w:pPr>
    </w:p>
    <w:p w:rsidR="004C0143" w:rsidRPr="001C6E81" w:rsidRDefault="004C0143" w:rsidP="00EA24AB">
      <w:pPr>
        <w:jc w:val="both"/>
        <w:rPr>
          <w:rFonts w:cs="Arial"/>
          <w:lang w:val="es-ES"/>
        </w:rPr>
      </w:pPr>
      <w:r w:rsidRPr="001C6E81">
        <w:rPr>
          <w:rFonts w:cs="Arial"/>
          <w:lang w:val="es-ES"/>
        </w:rPr>
        <w:t>Los fabricantes están a favor de reducir el nivel de pérdidas de los transformadores por medio de un enfoque estructurado (normalización).</w:t>
      </w:r>
    </w:p>
    <w:p w:rsidR="004C0143" w:rsidRPr="001C6E81" w:rsidRDefault="004C0143" w:rsidP="00EA24AB">
      <w:pPr>
        <w:jc w:val="both"/>
        <w:rPr>
          <w:rFonts w:cs="Arial"/>
          <w:lang w:val="es-ES"/>
        </w:rPr>
      </w:pPr>
    </w:p>
    <w:p w:rsidR="004C0143" w:rsidRPr="001C6E81" w:rsidRDefault="004C0143" w:rsidP="00EA24AB">
      <w:pPr>
        <w:jc w:val="both"/>
        <w:rPr>
          <w:rFonts w:cs="Arial"/>
          <w:lang w:val="es-ES"/>
        </w:rPr>
      </w:pPr>
      <w:r w:rsidRPr="001C6E81">
        <w:rPr>
          <w:rFonts w:cs="Arial"/>
          <w:lang w:val="es-ES"/>
        </w:rPr>
        <w:t>Los niveles de reducción deberían alinearse con los compromisos del protocolo de Kyoto para la reducción de gases de efecto invernadero.</w:t>
      </w:r>
    </w:p>
    <w:p w:rsidR="004C0143" w:rsidRPr="001C6E81" w:rsidRDefault="004C0143" w:rsidP="00EA24AB">
      <w:pPr>
        <w:jc w:val="both"/>
        <w:rPr>
          <w:rFonts w:cs="Arial"/>
          <w:lang w:val="es-ES"/>
        </w:rPr>
      </w:pPr>
    </w:p>
    <w:p w:rsidR="004C0143" w:rsidRPr="001C6E81" w:rsidRDefault="004C0143" w:rsidP="00EA24AB">
      <w:pPr>
        <w:jc w:val="both"/>
        <w:rPr>
          <w:rFonts w:cs="Arial"/>
          <w:lang w:val="es-ES"/>
        </w:rPr>
      </w:pPr>
      <w:r w:rsidRPr="001C6E81">
        <w:rPr>
          <w:rFonts w:cs="Arial"/>
          <w:lang w:val="es-ES"/>
        </w:rPr>
        <w:t>La reducción de las pérdidas debe ser coherente con los medios con los que los países producen la energía, y los niveles reales de pérdidas en dichos países. Algunos países ya han reducido los niveles de pérdidas de los transformadores y, por tanto, sus esfuerzos han de ser reducidos consecuentemente.</w:t>
      </w:r>
    </w:p>
    <w:p w:rsidR="004C0143" w:rsidRPr="001C6E81" w:rsidRDefault="004C0143" w:rsidP="00EA24AB">
      <w:pPr>
        <w:jc w:val="both"/>
        <w:rPr>
          <w:rFonts w:cs="Arial"/>
          <w:lang w:val="es-ES"/>
        </w:rPr>
      </w:pPr>
    </w:p>
    <w:p w:rsidR="004C0143" w:rsidRDefault="004C0143" w:rsidP="00EA24AB">
      <w:pPr>
        <w:jc w:val="both"/>
        <w:rPr>
          <w:rFonts w:cs="Arial"/>
          <w:lang w:val="es-ES"/>
        </w:rPr>
      </w:pPr>
      <w:r w:rsidRPr="001C6E81">
        <w:rPr>
          <w:rFonts w:cs="Arial"/>
          <w:lang w:val="es-ES"/>
        </w:rPr>
        <w:t>La reducción de pérdidas tanto para transformadores de aislamiento seco como para los sumergidos en líquido aislante debe ser estudiada por los comités técnicos afectados.</w:t>
      </w:r>
    </w:p>
    <w:p w:rsidR="00DE68EF" w:rsidRDefault="00DE68EF" w:rsidP="00EA24AB">
      <w:pPr>
        <w:jc w:val="both"/>
        <w:rPr>
          <w:rFonts w:cs="Arial"/>
          <w:lang w:val="es-ES"/>
        </w:rPr>
      </w:pPr>
    </w:p>
    <w:p w:rsidR="002A5F58" w:rsidRPr="00634CF8" w:rsidRDefault="002A5F58" w:rsidP="002A5F58">
      <w:pPr>
        <w:pStyle w:val="Textosinformato"/>
        <w:rPr>
          <w:rFonts w:ascii="Arial" w:hAnsi="Arial" w:cs="Arial"/>
          <w:sz w:val="20"/>
          <w:szCs w:val="20"/>
        </w:rPr>
      </w:pPr>
    </w:p>
    <w:p w:rsidR="00FD1BE8" w:rsidRPr="001C6E81" w:rsidRDefault="00077F12" w:rsidP="00FD1BE8">
      <w:pPr>
        <w:pStyle w:val="Ttulo3"/>
        <w:rPr>
          <w:lang w:val="es-ES"/>
        </w:rPr>
      </w:pPr>
      <w:r>
        <w:rPr>
          <w:lang w:val="es-ES"/>
        </w:rPr>
        <w:t>Novedades Noviembre</w:t>
      </w:r>
      <w:r w:rsidR="00FD1BE8">
        <w:rPr>
          <w:lang w:val="es-ES"/>
        </w:rPr>
        <w:t xml:space="preserve">’2014 / Medida de aplicación a </w:t>
      </w:r>
      <w:r w:rsidR="00FD1BE8" w:rsidRPr="00832DBE">
        <w:rPr>
          <w:i/>
          <w:lang w:val="es-ES"/>
        </w:rPr>
        <w:t>transformadores</w:t>
      </w:r>
    </w:p>
    <w:p w:rsidR="00077F12" w:rsidRDefault="00077F12" w:rsidP="00411495">
      <w:pPr>
        <w:pStyle w:val="Textosinformato"/>
        <w:numPr>
          <w:ilvl w:val="0"/>
          <w:numId w:val="22"/>
        </w:numPr>
        <w:rPr>
          <w:rFonts w:ascii="Arial" w:hAnsi="Arial" w:cs="Arial"/>
          <w:sz w:val="20"/>
          <w:szCs w:val="20"/>
        </w:rPr>
      </w:pPr>
      <w:r>
        <w:rPr>
          <w:rFonts w:ascii="Arial" w:hAnsi="Arial" w:cs="Arial"/>
          <w:sz w:val="20"/>
          <w:szCs w:val="20"/>
        </w:rPr>
        <w:t>Publicada en Mayo de 2014</w:t>
      </w:r>
    </w:p>
    <w:p w:rsidR="00077F12" w:rsidRPr="00433F29" w:rsidRDefault="00077F12" w:rsidP="00077F12">
      <w:pPr>
        <w:pStyle w:val="Prrafodelista"/>
        <w:numPr>
          <w:ilvl w:val="0"/>
          <w:numId w:val="3"/>
        </w:numPr>
        <w:jc w:val="both"/>
        <w:rPr>
          <w:color w:val="FF0000"/>
          <w:lang w:val="es-ES"/>
        </w:rPr>
      </w:pPr>
      <w:r w:rsidRPr="00433F29">
        <w:rPr>
          <w:color w:val="FF0000"/>
          <w:lang w:val="es-ES"/>
        </w:rPr>
        <w:t>No necesita trasposición a legislación nacional. Es de aplicación directa</w:t>
      </w:r>
    </w:p>
    <w:p w:rsidR="00077F12" w:rsidRPr="00634CF8" w:rsidRDefault="00077F12" w:rsidP="00077F12">
      <w:pPr>
        <w:pStyle w:val="Prrafodelista"/>
        <w:numPr>
          <w:ilvl w:val="0"/>
          <w:numId w:val="3"/>
        </w:numPr>
        <w:jc w:val="both"/>
        <w:rPr>
          <w:lang w:val="es-ES"/>
        </w:rPr>
      </w:pPr>
      <w:r w:rsidRPr="00634CF8">
        <w:rPr>
          <w:lang w:val="es-ES"/>
        </w:rPr>
        <w:t xml:space="preserve">Desde la publicación en DOCE, hasta la fecha del Tier 1, deben revisarse y renegociarse (si es necesario) todos </w:t>
      </w:r>
      <w:r w:rsidRPr="00634CF8">
        <w:rPr>
          <w:lang w:val="es-ES"/>
        </w:rPr>
        <w:lastRenderedPageBreak/>
        <w:t>los contratos si su contenido es incompatible con la nueva Regulación</w:t>
      </w:r>
    </w:p>
    <w:p w:rsidR="00077F12" w:rsidRDefault="00077F12" w:rsidP="00077F12">
      <w:pPr>
        <w:pStyle w:val="Prrafodelista"/>
        <w:numPr>
          <w:ilvl w:val="0"/>
          <w:numId w:val="3"/>
        </w:numPr>
        <w:jc w:val="both"/>
        <w:rPr>
          <w:lang w:val="es-ES"/>
        </w:rPr>
      </w:pPr>
      <w:r w:rsidRPr="00634CF8">
        <w:rPr>
          <w:lang w:val="es-ES"/>
        </w:rPr>
        <w:t>Las Compañías deberán adecuar sus especificaciones para que no pidan transformadores peores que los del reglamento de ecodiseño; aunque si podrán pedirlos más óptimos.</w:t>
      </w:r>
    </w:p>
    <w:p w:rsidR="009A5E1C" w:rsidRPr="00D86EBC" w:rsidRDefault="009A5E1C" w:rsidP="00D86EBC">
      <w:pPr>
        <w:pStyle w:val="Prrafodelista"/>
        <w:numPr>
          <w:ilvl w:val="0"/>
          <w:numId w:val="3"/>
        </w:numPr>
        <w:jc w:val="both"/>
        <w:rPr>
          <w:lang w:val="es-ES"/>
        </w:rPr>
      </w:pPr>
      <w:r w:rsidRPr="00D86EBC">
        <w:rPr>
          <w:lang w:val="es-ES"/>
        </w:rPr>
        <w:t>Scope:</w:t>
      </w:r>
      <w:r w:rsidR="00D86EBC" w:rsidRPr="00D86EBC">
        <w:rPr>
          <w:lang w:val="es-ES"/>
        </w:rPr>
        <w:t xml:space="preserve"> </w:t>
      </w:r>
      <w:r w:rsidRPr="00D86EBC">
        <w:rPr>
          <w:lang w:val="es-ES"/>
        </w:rPr>
        <w:t>Cualquier trafo "de una potencia mínima de 1 kVA utilizados en redes de transmisión y distribución eléctrica de 50 Hz o para aplicaciones industriales"</w:t>
      </w:r>
    </w:p>
    <w:p w:rsidR="00077F12" w:rsidRPr="006E2F4F" w:rsidRDefault="009A5E1C" w:rsidP="00077F12">
      <w:pPr>
        <w:pStyle w:val="Prrafodelista"/>
        <w:numPr>
          <w:ilvl w:val="1"/>
          <w:numId w:val="3"/>
        </w:numPr>
        <w:jc w:val="both"/>
        <w:rPr>
          <w:rFonts w:cs="Arial"/>
          <w:lang w:val="es-ES"/>
        </w:rPr>
      </w:pPr>
      <w:r>
        <w:rPr>
          <w:lang w:val="es-ES"/>
        </w:rPr>
        <w:t xml:space="preserve">Luego también aplica a </w:t>
      </w:r>
      <w:r w:rsidRPr="009A5E1C">
        <w:rPr>
          <w:lang w:val="es-ES"/>
        </w:rPr>
        <w:t>transformadores industriales de BT/BT de más de 1 kVA, a los</w:t>
      </w:r>
      <w:r>
        <w:rPr>
          <w:lang w:val="es-ES"/>
        </w:rPr>
        <w:t xml:space="preserve"> </w:t>
      </w:r>
      <w:r w:rsidRPr="009A5E1C">
        <w:rPr>
          <w:lang w:val="es-ES"/>
        </w:rPr>
        <w:t>que se les llama "transformadores de pequeña potencia" en el Reglamento; y también a los a trafos monofásicos</w:t>
      </w:r>
    </w:p>
    <w:bookmarkStart w:id="10" w:name="_MON_1445931672"/>
    <w:bookmarkEnd w:id="10"/>
    <w:p w:rsidR="00077F12" w:rsidRPr="00077F12" w:rsidRDefault="00077F12" w:rsidP="00077F12">
      <w:pPr>
        <w:pStyle w:val="Textosinformato"/>
        <w:rPr>
          <w:rFonts w:ascii="Arial" w:hAnsi="Arial" w:cs="Arial"/>
          <w:sz w:val="20"/>
          <w:szCs w:val="20"/>
          <w:lang w:val="en-US"/>
        </w:rPr>
      </w:pPr>
      <w:r w:rsidRPr="00634CF8">
        <w:rPr>
          <w:rFonts w:ascii="Arial" w:hAnsi="Arial" w:cs="Arial"/>
          <w:sz w:val="20"/>
          <w:szCs w:val="20"/>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PowerPoint.Show.12" ShapeID="_x0000_i1025" DrawAspect="Icon" ObjectID="_1505719307" r:id="rId19"/>
        </w:object>
      </w:r>
    </w:p>
    <w:p w:rsidR="00A65D1A" w:rsidRDefault="00A65D1A" w:rsidP="00A65D1A">
      <w:pPr>
        <w:pStyle w:val="Prrafodelista"/>
        <w:numPr>
          <w:ilvl w:val="0"/>
          <w:numId w:val="3"/>
        </w:numPr>
        <w:jc w:val="both"/>
        <w:rPr>
          <w:lang w:val="es-ES"/>
        </w:rPr>
      </w:pPr>
      <w:r>
        <w:rPr>
          <w:lang w:val="es-ES"/>
        </w:rPr>
        <w:t>Se ha publicado el “ecodesign working plan 2015-2017:</w:t>
      </w:r>
    </w:p>
    <w:p w:rsidR="00A65D1A" w:rsidRDefault="00A65D1A" w:rsidP="00A65D1A">
      <w:pPr>
        <w:pStyle w:val="Prrafodelista"/>
        <w:numPr>
          <w:ilvl w:val="1"/>
          <w:numId w:val="3"/>
        </w:numPr>
        <w:jc w:val="both"/>
        <w:rPr>
          <w:lang w:val="es-ES"/>
        </w:rPr>
      </w:pPr>
      <w:r w:rsidRPr="00A65D1A">
        <w:rPr>
          <w:lang w:val="es-ES"/>
        </w:rPr>
        <w:t>Partiendo de una lista de 100 categorías de producto, se ha establecido una lista pri</w:t>
      </w:r>
      <w:r w:rsidR="00FF5B0C">
        <w:rPr>
          <w:lang w:val="es-ES"/>
        </w:rPr>
        <w:t>o</w:t>
      </w:r>
      <w:r w:rsidRPr="00A65D1A">
        <w:rPr>
          <w:lang w:val="es-ES"/>
        </w:rPr>
        <w:t>ritaria de 27, que no incluye ninguno de los nuestros</w:t>
      </w:r>
    </w:p>
    <w:p w:rsidR="00A65D1A" w:rsidRPr="00A65D1A" w:rsidRDefault="00A65D1A" w:rsidP="00A65D1A">
      <w:pPr>
        <w:pStyle w:val="Prrafodelista"/>
        <w:numPr>
          <w:ilvl w:val="1"/>
          <w:numId w:val="3"/>
        </w:numPr>
        <w:jc w:val="both"/>
        <w:rPr>
          <w:lang w:val="es-ES"/>
        </w:rPr>
      </w:pPr>
      <w:r>
        <w:rPr>
          <w:lang w:val="es-ES"/>
        </w:rPr>
        <w:t xml:space="preserve">El estudio debe proponer un máximo de 20 productos a ser </w:t>
      </w:r>
      <w:r w:rsidR="00C20A89">
        <w:rPr>
          <w:lang w:val="es-ES"/>
        </w:rPr>
        <w:t>regulados en el periodo 2015-2017</w:t>
      </w:r>
    </w:p>
    <w:p w:rsidR="00FD1BE8" w:rsidRPr="00FD1BE8" w:rsidRDefault="00FD1BE8" w:rsidP="002A5F58">
      <w:pPr>
        <w:pStyle w:val="Textosinformato"/>
        <w:rPr>
          <w:rFonts w:ascii="Arial" w:hAnsi="Arial" w:cs="Arial"/>
          <w:sz w:val="20"/>
          <w:szCs w:val="20"/>
        </w:rPr>
      </w:pPr>
    </w:p>
    <w:p w:rsidR="008E58B3" w:rsidRDefault="008E58B3" w:rsidP="008E58B3">
      <w:pPr>
        <w:pStyle w:val="Ttulo2"/>
        <w:tabs>
          <w:tab w:val="clear" w:pos="0"/>
          <w:tab w:val="num" w:pos="851"/>
        </w:tabs>
        <w:ind w:left="851" w:hanging="851"/>
        <w:jc w:val="both"/>
        <w:rPr>
          <w:b w:val="0"/>
          <w:i w:val="0"/>
          <w:lang w:val="es-ES"/>
        </w:rPr>
      </w:pPr>
      <w:bookmarkStart w:id="11" w:name="_Toc404614850"/>
      <w:bookmarkStart w:id="12" w:name="_Toc310409865"/>
      <w:r w:rsidRPr="0085269C">
        <w:rPr>
          <w:b w:val="0"/>
          <w:i w:val="0"/>
          <w:lang w:val="es-ES"/>
        </w:rPr>
        <w:t>WEEE - directiva de residuos de aparatos eléctricos y electrónicos (2012/19/EU)</w:t>
      </w:r>
      <w:bookmarkEnd w:id="11"/>
    </w:p>
    <w:p w:rsidR="00A1252B" w:rsidRDefault="00A1252B" w:rsidP="00411495">
      <w:pPr>
        <w:pStyle w:val="Prrafodelista"/>
        <w:numPr>
          <w:ilvl w:val="0"/>
          <w:numId w:val="23"/>
        </w:numPr>
        <w:jc w:val="both"/>
        <w:rPr>
          <w:rFonts w:cs="Arial"/>
          <w:b/>
          <w:lang w:val="es-ES"/>
        </w:rPr>
      </w:pPr>
      <w:r w:rsidRPr="008E58B3">
        <w:rPr>
          <w:rFonts w:cs="Arial"/>
          <w:b/>
          <w:lang w:val="es-ES"/>
        </w:rPr>
        <w:t>Los equipos de alta tensión están fuera del campo de aplicaci</w:t>
      </w:r>
      <w:r w:rsidR="00136EEC">
        <w:rPr>
          <w:rFonts w:cs="Arial"/>
          <w:b/>
          <w:lang w:val="es-ES"/>
        </w:rPr>
        <w:t>ón (</w:t>
      </w:r>
      <w:r w:rsidRPr="008E58B3">
        <w:rPr>
          <w:rFonts w:cs="Arial"/>
          <w:b/>
          <w:lang w:val="es-ES"/>
        </w:rPr>
        <w:t>Artículo 3 WEEE)</w:t>
      </w:r>
    </w:p>
    <w:p w:rsidR="001E0444" w:rsidRPr="001E0444" w:rsidRDefault="001E0444" w:rsidP="00411495">
      <w:pPr>
        <w:pStyle w:val="Prrafodelista"/>
        <w:numPr>
          <w:ilvl w:val="0"/>
          <w:numId w:val="23"/>
        </w:numPr>
        <w:jc w:val="both"/>
        <w:rPr>
          <w:rFonts w:cs="Arial"/>
          <w:b/>
          <w:lang w:val="es-ES"/>
        </w:rPr>
      </w:pPr>
      <w:r w:rsidRPr="001E0444">
        <w:rPr>
          <w:rFonts w:cs="Arial"/>
          <w:b/>
          <w:lang w:val="es-ES"/>
        </w:rPr>
        <w:t>Tratado de Funcionamiento de la Unión Europea Articulo 192 aptdo 1 , antiguo 175 del TCE,</w:t>
      </w:r>
    </w:p>
    <w:p w:rsidR="001E0444" w:rsidRPr="008E58B3" w:rsidRDefault="001E0444" w:rsidP="00411495">
      <w:pPr>
        <w:pStyle w:val="Prrafodelista"/>
        <w:numPr>
          <w:ilvl w:val="0"/>
          <w:numId w:val="23"/>
        </w:numPr>
        <w:jc w:val="both"/>
        <w:rPr>
          <w:rFonts w:cs="Arial"/>
          <w:b/>
          <w:lang w:val="es-ES"/>
        </w:rPr>
      </w:pPr>
      <w:r w:rsidRPr="001E0444">
        <w:rPr>
          <w:rFonts w:cs="Arial"/>
          <w:b/>
          <w:lang w:val="es-ES"/>
        </w:rPr>
        <w:t>http://ec.europa.eu/environment/waste/weee/index_en.htm</w:t>
      </w:r>
    </w:p>
    <w:p w:rsidR="00136EEC" w:rsidRPr="00136EEC" w:rsidRDefault="00136EEC" w:rsidP="00A1252B">
      <w:pPr>
        <w:jc w:val="both"/>
        <w:rPr>
          <w:rFonts w:cs="Arial"/>
          <w:lang w:val="es-ES"/>
        </w:rPr>
      </w:pPr>
    </w:p>
    <w:p w:rsidR="00A1252B" w:rsidRDefault="00A1252B" w:rsidP="00A1252B">
      <w:pPr>
        <w:jc w:val="both"/>
        <w:rPr>
          <w:rFonts w:cs="Arial"/>
          <w:lang w:val="en-US"/>
        </w:rPr>
      </w:pPr>
      <w:r>
        <w:rPr>
          <w:rFonts w:cs="Arial"/>
          <w:lang w:val="en-US"/>
        </w:rPr>
        <w:t>A modo de resumen:</w:t>
      </w:r>
    </w:p>
    <w:p w:rsidR="00A1252B" w:rsidRPr="00A1252B" w:rsidRDefault="00A1252B" w:rsidP="00A1252B">
      <w:pPr>
        <w:pStyle w:val="Prrafodelista"/>
        <w:numPr>
          <w:ilvl w:val="0"/>
          <w:numId w:val="3"/>
        </w:numPr>
        <w:jc w:val="both"/>
        <w:rPr>
          <w:rFonts w:cs="Arial"/>
          <w:lang w:val="es-ES"/>
        </w:rPr>
      </w:pPr>
      <w:r w:rsidRPr="00A1252B">
        <w:rPr>
          <w:rFonts w:cs="Arial"/>
          <w:lang w:val="es-ES"/>
        </w:rPr>
        <w:t>Directiva 2002/96/EC de enero de 2003</w:t>
      </w:r>
      <w:r>
        <w:rPr>
          <w:rFonts w:cs="Arial"/>
          <w:lang w:val="es-ES"/>
        </w:rPr>
        <w:t>, enmendada por las dos siguientes:</w:t>
      </w:r>
    </w:p>
    <w:p w:rsidR="00A1252B" w:rsidRPr="00A1252B" w:rsidRDefault="00A1252B" w:rsidP="00A1252B">
      <w:pPr>
        <w:pStyle w:val="Prrafodelista"/>
        <w:numPr>
          <w:ilvl w:val="1"/>
          <w:numId w:val="3"/>
        </w:numPr>
        <w:jc w:val="both"/>
        <w:rPr>
          <w:rFonts w:cs="Arial"/>
          <w:lang w:val="es-ES"/>
        </w:rPr>
      </w:pPr>
      <w:r w:rsidRPr="00A1252B">
        <w:rPr>
          <w:rFonts w:cs="Arial"/>
          <w:lang w:val="es-ES"/>
        </w:rPr>
        <w:t>Directiva 2003/108/EC de diciembre de 2003</w:t>
      </w:r>
    </w:p>
    <w:p w:rsidR="00A1252B" w:rsidRPr="00A1252B" w:rsidRDefault="00A1252B" w:rsidP="00A1252B">
      <w:pPr>
        <w:pStyle w:val="Prrafodelista"/>
        <w:numPr>
          <w:ilvl w:val="1"/>
          <w:numId w:val="3"/>
        </w:numPr>
        <w:jc w:val="both"/>
        <w:rPr>
          <w:rFonts w:cs="Arial"/>
          <w:lang w:val="es-ES"/>
        </w:rPr>
      </w:pPr>
      <w:r>
        <w:rPr>
          <w:rFonts w:cs="Arial"/>
          <w:lang w:val="es-ES"/>
        </w:rPr>
        <w:t>Directiva</w:t>
      </w:r>
      <w:r w:rsidRPr="00A1252B">
        <w:rPr>
          <w:rFonts w:cs="Arial"/>
          <w:lang w:val="es-ES"/>
        </w:rPr>
        <w:t xml:space="preserve"> 2008/34/EC de marzo de 2008</w:t>
      </w:r>
    </w:p>
    <w:p w:rsidR="008E58B3" w:rsidRPr="00A1252B" w:rsidRDefault="00A1252B" w:rsidP="008E58B3">
      <w:pPr>
        <w:pStyle w:val="Prrafodelista"/>
        <w:numPr>
          <w:ilvl w:val="0"/>
          <w:numId w:val="3"/>
        </w:numPr>
        <w:jc w:val="both"/>
        <w:rPr>
          <w:rFonts w:cs="Arial"/>
          <w:lang w:val="es-ES"/>
        </w:rPr>
      </w:pPr>
      <w:r w:rsidRPr="00A1252B">
        <w:rPr>
          <w:rFonts w:cs="Arial"/>
          <w:lang w:val="es-ES"/>
        </w:rPr>
        <w:t>Directiva 2012/19/EU de Julio de 2012</w:t>
      </w:r>
    </w:p>
    <w:p w:rsidR="008E58B3" w:rsidRPr="00D45F84" w:rsidRDefault="008E58B3" w:rsidP="008E58B3">
      <w:pPr>
        <w:pStyle w:val="Prrafodelista"/>
        <w:numPr>
          <w:ilvl w:val="1"/>
          <w:numId w:val="3"/>
        </w:numPr>
        <w:jc w:val="both"/>
        <w:rPr>
          <w:rFonts w:cs="Arial"/>
          <w:lang w:val="es-ES"/>
        </w:rPr>
      </w:pPr>
      <w:r w:rsidRPr="00D45F84">
        <w:rPr>
          <w:rFonts w:cs="Arial"/>
          <w:lang w:val="es-ES"/>
        </w:rPr>
        <w:lastRenderedPageBreak/>
        <w:t>Fecha límite de transposición: 14/02/2014.</w:t>
      </w:r>
    </w:p>
    <w:p w:rsidR="008E58B3" w:rsidRPr="00D45F84" w:rsidRDefault="008E58B3" w:rsidP="008E58B3">
      <w:pPr>
        <w:pStyle w:val="Prrafodelista"/>
        <w:numPr>
          <w:ilvl w:val="1"/>
          <w:numId w:val="3"/>
        </w:numPr>
        <w:jc w:val="both"/>
        <w:rPr>
          <w:rFonts w:cs="Arial"/>
          <w:lang w:val="es-ES"/>
        </w:rPr>
      </w:pPr>
      <w:r w:rsidRPr="00D45F84">
        <w:rPr>
          <w:rFonts w:cs="Arial"/>
          <w:lang w:val="es-ES"/>
        </w:rPr>
        <w:t>Alcance:</w:t>
      </w:r>
    </w:p>
    <w:p w:rsidR="008E58B3" w:rsidRPr="00D45F84" w:rsidRDefault="008E58B3" w:rsidP="008E58B3">
      <w:pPr>
        <w:pStyle w:val="Prrafodelista"/>
        <w:numPr>
          <w:ilvl w:val="2"/>
          <w:numId w:val="3"/>
        </w:numPr>
        <w:jc w:val="both"/>
        <w:rPr>
          <w:rFonts w:cs="Arial"/>
          <w:lang w:val="es-ES"/>
        </w:rPr>
      </w:pPr>
      <w:r w:rsidRPr="00D45F84">
        <w:rPr>
          <w:rFonts w:cs="Arial"/>
          <w:lang w:val="es-ES"/>
        </w:rPr>
        <w:t>Durante 6 años se mantiene el alcance de la antigua directiva RAEE.</w:t>
      </w:r>
    </w:p>
    <w:p w:rsidR="008E58B3" w:rsidRPr="00D45F84" w:rsidRDefault="008E58B3" w:rsidP="008E58B3">
      <w:pPr>
        <w:pStyle w:val="Prrafodelista"/>
        <w:numPr>
          <w:ilvl w:val="2"/>
          <w:numId w:val="3"/>
        </w:numPr>
        <w:jc w:val="both"/>
        <w:rPr>
          <w:rFonts w:cs="Arial"/>
          <w:lang w:val="es-ES"/>
        </w:rPr>
      </w:pPr>
      <w:r w:rsidRPr="00D45F84">
        <w:rPr>
          <w:rFonts w:cs="Arial"/>
          <w:lang w:val="es-ES"/>
        </w:rPr>
        <w:t>Después de 6 años se incluyen todos los AEE excepto los que aparecen excluidos.</w:t>
      </w:r>
    </w:p>
    <w:p w:rsidR="008E58B3" w:rsidRPr="00D45F84" w:rsidRDefault="008E58B3" w:rsidP="008E58B3">
      <w:pPr>
        <w:pStyle w:val="Prrafodelista"/>
        <w:numPr>
          <w:ilvl w:val="2"/>
          <w:numId w:val="3"/>
        </w:numPr>
        <w:jc w:val="both"/>
        <w:rPr>
          <w:rFonts w:cs="Arial"/>
          <w:lang w:val="es-ES"/>
        </w:rPr>
      </w:pPr>
      <w:r w:rsidRPr="00D45F84">
        <w:rPr>
          <w:rFonts w:cs="Arial"/>
          <w:lang w:val="es-ES"/>
        </w:rPr>
        <w:t xml:space="preserve">Al igual que en la antigua directiva, los equipos de Alta tensión están fuera del campo de aplicación de esta directiva: </w:t>
      </w:r>
    </w:p>
    <w:p w:rsidR="008E58B3" w:rsidRPr="00D45F84" w:rsidRDefault="008E58B3" w:rsidP="008E58B3">
      <w:pPr>
        <w:pStyle w:val="Prrafodelista"/>
        <w:numPr>
          <w:ilvl w:val="3"/>
          <w:numId w:val="3"/>
        </w:numPr>
        <w:jc w:val="both"/>
        <w:rPr>
          <w:rFonts w:cs="Arial"/>
          <w:lang w:val="es-ES"/>
        </w:rPr>
      </w:pPr>
      <w:r w:rsidRPr="00D45F84">
        <w:rPr>
          <w:rFonts w:cs="Arial"/>
          <w:lang w:val="es-ES"/>
        </w:rPr>
        <w:t>Por definición de aparato eléctrico electrónico (AEE), con una tensión nominal no superior a 1000 voltios en corriente alterna y 1 500 voltios en corriente continua.</w:t>
      </w:r>
    </w:p>
    <w:p w:rsidR="008E58B3" w:rsidRPr="008842D6" w:rsidRDefault="008E58B3" w:rsidP="008E58B3">
      <w:pPr>
        <w:pStyle w:val="Prrafodelista"/>
        <w:numPr>
          <w:ilvl w:val="3"/>
          <w:numId w:val="3"/>
        </w:numPr>
        <w:ind w:left="2487"/>
        <w:jc w:val="both"/>
        <w:rPr>
          <w:rFonts w:cs="Arial"/>
          <w:color w:val="000000"/>
          <w:lang w:val="es-ES"/>
        </w:rPr>
      </w:pPr>
      <w:r w:rsidRPr="008842D6">
        <w:rPr>
          <w:rFonts w:cs="Arial"/>
          <w:lang w:val="es-ES"/>
        </w:rPr>
        <w:t>La directiva no se aplicará en los siguientes AEE (</w:t>
      </w:r>
      <w:r>
        <w:rPr>
          <w:rFonts w:cs="Arial"/>
          <w:color w:val="000000"/>
          <w:lang w:val="es-ES"/>
        </w:rPr>
        <w:t>Artículo 2 - ámbito de aplicación</w:t>
      </w:r>
      <w:r w:rsidRPr="008842D6">
        <w:rPr>
          <w:rFonts w:cs="Arial"/>
          <w:color w:val="000000"/>
          <w:lang w:val="es-ES"/>
        </w:rPr>
        <w:t>, punto 3</w:t>
      </w:r>
      <w:r>
        <w:rPr>
          <w:rFonts w:cs="Arial"/>
          <w:color w:val="000000"/>
          <w:lang w:val="es-ES"/>
        </w:rPr>
        <w:t>)</w:t>
      </w:r>
    </w:p>
    <w:p w:rsidR="008E58B3" w:rsidRPr="00501CDD" w:rsidRDefault="008E58B3" w:rsidP="008E58B3">
      <w:pPr>
        <w:pStyle w:val="Prrafodelista"/>
        <w:numPr>
          <w:ilvl w:val="0"/>
          <w:numId w:val="3"/>
        </w:numPr>
        <w:ind w:left="3207"/>
        <w:jc w:val="both"/>
        <w:rPr>
          <w:rFonts w:cs="Arial"/>
          <w:lang w:val="es-ES"/>
        </w:rPr>
      </w:pPr>
      <w:r w:rsidRPr="00501CDD">
        <w:rPr>
          <w:rFonts w:cs="Arial"/>
          <w:color w:val="000000"/>
          <w:lang w:val="es-ES"/>
        </w:rPr>
        <w:t xml:space="preserve">b) los aparatos que estén </w:t>
      </w:r>
      <w:r w:rsidRPr="002B5D97">
        <w:rPr>
          <w:rFonts w:cs="Arial"/>
          <w:color w:val="FF0000"/>
          <w:lang w:val="es-ES"/>
        </w:rPr>
        <w:t>diseñados e instalados específicamente como parte de otro tipo de aparatos</w:t>
      </w:r>
      <w:r w:rsidRPr="00501CDD">
        <w:rPr>
          <w:rFonts w:cs="Arial"/>
          <w:color w:val="000000"/>
          <w:lang w:val="es-ES"/>
        </w:rPr>
        <w:t xml:space="preserve"> excluido o no incluido en el ámbito de aplicación de la presente Directiva </w:t>
      </w:r>
      <w:r w:rsidRPr="002B5D97">
        <w:rPr>
          <w:rFonts w:cs="Arial"/>
          <w:color w:val="FF0000"/>
          <w:lang w:val="es-ES"/>
        </w:rPr>
        <w:t>que puedan cumplir su función solo si forman parte de estos aparatos</w:t>
      </w:r>
      <w:r w:rsidRPr="00501CDD">
        <w:rPr>
          <w:rFonts w:cs="Arial"/>
          <w:color w:val="000000"/>
          <w:lang w:val="es-ES"/>
        </w:rPr>
        <w:t>;</w:t>
      </w:r>
    </w:p>
    <w:p w:rsidR="008E58B3" w:rsidRPr="008842D6" w:rsidRDefault="008E58B3" w:rsidP="008E58B3">
      <w:pPr>
        <w:pStyle w:val="Prrafodelista"/>
        <w:numPr>
          <w:ilvl w:val="3"/>
          <w:numId w:val="3"/>
        </w:numPr>
        <w:autoSpaceDE w:val="0"/>
        <w:autoSpaceDN w:val="0"/>
        <w:adjustRightInd w:val="0"/>
        <w:jc w:val="both"/>
        <w:rPr>
          <w:rFonts w:cs="Arial"/>
          <w:color w:val="000000"/>
          <w:lang w:val="es-ES"/>
        </w:rPr>
      </w:pPr>
      <w:r w:rsidRPr="008842D6">
        <w:rPr>
          <w:rFonts w:cs="Arial"/>
          <w:color w:val="000000"/>
          <w:lang w:val="es-ES"/>
        </w:rPr>
        <w:t xml:space="preserve">Después de los 6 años (open scope), </w:t>
      </w:r>
      <w:r w:rsidRPr="008842D6">
        <w:rPr>
          <w:rFonts w:cs="Arial"/>
          <w:color w:val="FF0000"/>
          <w:lang w:val="es-ES"/>
        </w:rPr>
        <w:t>no se aplicara a los AEE instalados en</w:t>
      </w:r>
      <w:r w:rsidRPr="008842D6">
        <w:rPr>
          <w:rFonts w:cs="Arial"/>
          <w:color w:val="000000"/>
          <w:lang w:val="es-ES"/>
        </w:rPr>
        <w:t xml:space="preserve"> (A</w:t>
      </w:r>
      <w:r>
        <w:rPr>
          <w:rFonts w:cs="Arial"/>
          <w:color w:val="000000"/>
          <w:lang w:val="es-ES"/>
        </w:rPr>
        <w:t>rtículo 3 - definiciones</w:t>
      </w:r>
      <w:r w:rsidRPr="008842D6">
        <w:rPr>
          <w:rFonts w:cs="Arial"/>
          <w:color w:val="000000"/>
          <w:lang w:val="es-ES"/>
        </w:rPr>
        <w:t>, punto 1</w:t>
      </w:r>
      <w:r>
        <w:rPr>
          <w:rFonts w:cs="Arial"/>
          <w:color w:val="000000"/>
          <w:lang w:val="es-ES"/>
        </w:rPr>
        <w:t>)</w:t>
      </w:r>
    </w:p>
    <w:p w:rsidR="008E58B3" w:rsidRPr="00501CDD" w:rsidRDefault="008E58B3" w:rsidP="00411495">
      <w:pPr>
        <w:pStyle w:val="Prrafodelista"/>
        <w:numPr>
          <w:ilvl w:val="0"/>
          <w:numId w:val="16"/>
        </w:numPr>
        <w:autoSpaceDE w:val="0"/>
        <w:autoSpaceDN w:val="0"/>
        <w:adjustRightInd w:val="0"/>
        <w:ind w:left="3207"/>
        <w:rPr>
          <w:rFonts w:cs="Arial"/>
          <w:color w:val="000000"/>
          <w:lang w:val="es-ES"/>
        </w:rPr>
      </w:pPr>
      <w:r w:rsidRPr="00501CDD">
        <w:rPr>
          <w:rFonts w:cs="Arial"/>
          <w:color w:val="000000"/>
          <w:lang w:val="es-ES"/>
        </w:rPr>
        <w:t>b) «</w:t>
      </w:r>
      <w:r w:rsidRPr="002B5D97">
        <w:rPr>
          <w:rFonts w:cs="Arial"/>
          <w:color w:val="FF0000"/>
          <w:lang w:val="es-ES"/>
        </w:rPr>
        <w:t>herramienta industrial fija de gran envergadura</w:t>
      </w:r>
      <w:r w:rsidRPr="00501CDD">
        <w:rPr>
          <w:rFonts w:cs="Arial"/>
          <w:color w:val="000000"/>
          <w:lang w:val="es-ES"/>
        </w:rPr>
        <w:t xml:space="preserve">»: un conjunto de máquinas, equipos o componentes de gran envergadura, que funcionan juntos para una aplicación específica, </w:t>
      </w:r>
      <w:r w:rsidRPr="002B5D97">
        <w:rPr>
          <w:rFonts w:cs="Arial"/>
          <w:color w:val="FF0000"/>
          <w:lang w:val="es-ES"/>
        </w:rPr>
        <w:t>instalados de forma permanente y desinstalados por profesionales en un lugar dado</w:t>
      </w:r>
      <w:r w:rsidRPr="00501CDD">
        <w:rPr>
          <w:rFonts w:cs="Arial"/>
          <w:color w:val="000000"/>
          <w:lang w:val="es-ES"/>
        </w:rPr>
        <w:t xml:space="preserve">, y utilizados y mantenidos por profesionales en un centro de producción industrial o en un centro de investigación y desarrollo; </w:t>
      </w:r>
    </w:p>
    <w:p w:rsidR="008E58B3" w:rsidRPr="00501CDD" w:rsidRDefault="008E58B3" w:rsidP="00411495">
      <w:pPr>
        <w:pStyle w:val="Prrafodelista"/>
        <w:numPr>
          <w:ilvl w:val="0"/>
          <w:numId w:val="16"/>
        </w:numPr>
        <w:autoSpaceDE w:val="0"/>
        <w:autoSpaceDN w:val="0"/>
        <w:adjustRightInd w:val="0"/>
        <w:ind w:left="3207"/>
        <w:rPr>
          <w:rFonts w:cs="Arial"/>
          <w:color w:val="000000"/>
          <w:lang w:val="es-ES"/>
        </w:rPr>
      </w:pPr>
      <w:r w:rsidRPr="00501CDD">
        <w:rPr>
          <w:rFonts w:cs="Arial"/>
          <w:color w:val="000000"/>
          <w:lang w:val="es-ES"/>
        </w:rPr>
        <w:t>c) «</w:t>
      </w:r>
      <w:r w:rsidRPr="002B5D97">
        <w:rPr>
          <w:rFonts w:cs="Arial"/>
          <w:color w:val="FF0000"/>
          <w:lang w:val="es-ES"/>
        </w:rPr>
        <w:t>instalación fija de gran envergadura</w:t>
      </w:r>
      <w:r w:rsidRPr="00501CDD">
        <w:rPr>
          <w:rFonts w:cs="Arial"/>
          <w:color w:val="000000"/>
          <w:lang w:val="es-ES"/>
        </w:rPr>
        <w:t xml:space="preserve">»: una combinación de gran tamaño de varios tipos de aparatos y, cuando proceda, de otros dispositivos, que estén: </w:t>
      </w:r>
    </w:p>
    <w:p w:rsidR="008E58B3" w:rsidRPr="00501CDD" w:rsidRDefault="008E58B3" w:rsidP="00411495">
      <w:pPr>
        <w:pStyle w:val="Prrafodelista"/>
        <w:numPr>
          <w:ilvl w:val="1"/>
          <w:numId w:val="16"/>
        </w:numPr>
        <w:autoSpaceDE w:val="0"/>
        <w:autoSpaceDN w:val="0"/>
        <w:adjustRightInd w:val="0"/>
        <w:ind w:left="4287"/>
        <w:rPr>
          <w:rFonts w:cs="Arial"/>
          <w:color w:val="000000"/>
          <w:lang w:val="es-ES"/>
        </w:rPr>
      </w:pPr>
      <w:r w:rsidRPr="002B5D97">
        <w:rPr>
          <w:rFonts w:cs="Arial"/>
          <w:color w:val="FF0000"/>
          <w:lang w:val="es-ES"/>
        </w:rPr>
        <w:t>ensamblados, instalados y desinstalados por profesionales</w:t>
      </w:r>
      <w:r w:rsidRPr="00501CDD">
        <w:rPr>
          <w:rFonts w:cs="Arial"/>
          <w:color w:val="000000"/>
          <w:lang w:val="es-ES"/>
        </w:rPr>
        <w:t xml:space="preserve">, </w:t>
      </w:r>
    </w:p>
    <w:p w:rsidR="008E58B3" w:rsidRPr="00501CDD" w:rsidRDefault="008E58B3" w:rsidP="00411495">
      <w:pPr>
        <w:pStyle w:val="Prrafodelista"/>
        <w:numPr>
          <w:ilvl w:val="1"/>
          <w:numId w:val="16"/>
        </w:numPr>
        <w:autoSpaceDE w:val="0"/>
        <w:autoSpaceDN w:val="0"/>
        <w:adjustRightInd w:val="0"/>
        <w:ind w:left="4287"/>
        <w:rPr>
          <w:rFonts w:cs="Arial"/>
          <w:color w:val="000000"/>
          <w:lang w:val="es-ES"/>
        </w:rPr>
      </w:pPr>
      <w:r w:rsidRPr="00501CDD">
        <w:rPr>
          <w:rFonts w:cs="Arial"/>
          <w:color w:val="000000"/>
          <w:lang w:val="es-ES"/>
        </w:rPr>
        <w:lastRenderedPageBreak/>
        <w:t xml:space="preserve">destinados a un </w:t>
      </w:r>
      <w:r w:rsidRPr="002B5D97">
        <w:rPr>
          <w:rFonts w:cs="Arial"/>
          <w:color w:val="FF0000"/>
          <w:lang w:val="es-ES"/>
        </w:rPr>
        <w:t>uso permanente</w:t>
      </w:r>
      <w:r w:rsidRPr="00501CDD">
        <w:rPr>
          <w:rFonts w:cs="Arial"/>
          <w:color w:val="000000"/>
          <w:lang w:val="es-ES"/>
        </w:rPr>
        <w:t xml:space="preserve"> integrados en un edificio o estructura en un lugar predefinido dedicado a ello, y </w:t>
      </w:r>
    </w:p>
    <w:p w:rsidR="008E58B3" w:rsidRPr="00501CDD" w:rsidRDefault="008E58B3" w:rsidP="00411495">
      <w:pPr>
        <w:pStyle w:val="Prrafodelista"/>
        <w:numPr>
          <w:ilvl w:val="1"/>
          <w:numId w:val="16"/>
        </w:numPr>
        <w:ind w:left="4287"/>
        <w:jc w:val="both"/>
        <w:rPr>
          <w:rFonts w:cs="Arial"/>
          <w:lang w:val="es-ES"/>
        </w:rPr>
      </w:pPr>
      <w:r w:rsidRPr="00501CDD">
        <w:rPr>
          <w:rFonts w:cs="Arial"/>
          <w:color w:val="000000"/>
          <w:lang w:val="es-ES"/>
        </w:rPr>
        <w:t xml:space="preserve">que solo puedan ser </w:t>
      </w:r>
      <w:r w:rsidRPr="002B5D97">
        <w:rPr>
          <w:rFonts w:cs="Arial"/>
          <w:color w:val="FF0000"/>
          <w:lang w:val="es-ES"/>
        </w:rPr>
        <w:t>sustituidos por los mismos aparatos diseñados específicamente</w:t>
      </w:r>
      <w:r w:rsidRPr="00501CDD">
        <w:rPr>
          <w:rFonts w:cs="Arial"/>
          <w:color w:val="000000"/>
          <w:lang w:val="es-ES"/>
        </w:rPr>
        <w:t>;</w:t>
      </w:r>
    </w:p>
    <w:p w:rsidR="008E58B3" w:rsidRPr="00FC11C7" w:rsidRDefault="008E58B3" w:rsidP="008E58B3">
      <w:pPr>
        <w:jc w:val="both"/>
        <w:rPr>
          <w:rFonts w:cs="Arial"/>
          <w:lang w:val="es-ES"/>
        </w:rPr>
      </w:pPr>
    </w:p>
    <w:p w:rsidR="008E58B3" w:rsidRPr="00D465DB" w:rsidRDefault="008E58B3" w:rsidP="008E58B3">
      <w:pPr>
        <w:pStyle w:val="Ttulo3"/>
        <w:rPr>
          <w:lang w:val="es-ES"/>
        </w:rPr>
      </w:pPr>
      <w:r>
        <w:rPr>
          <w:lang w:val="es-ES"/>
        </w:rPr>
        <w:t>Novedades Septiembre</w:t>
      </w:r>
      <w:r w:rsidRPr="00D465DB">
        <w:rPr>
          <w:lang w:val="es-ES"/>
        </w:rPr>
        <w:t xml:space="preserve"> 2012</w:t>
      </w:r>
    </w:p>
    <w:p w:rsidR="008E58B3" w:rsidRDefault="008E58B3" w:rsidP="008E58B3">
      <w:pPr>
        <w:pStyle w:val="Prrafodelista"/>
        <w:numPr>
          <w:ilvl w:val="0"/>
          <w:numId w:val="3"/>
        </w:numPr>
        <w:jc w:val="both"/>
        <w:rPr>
          <w:lang w:val="es-ES"/>
        </w:rPr>
      </w:pPr>
      <w:r>
        <w:rPr>
          <w:lang w:val="es-ES"/>
        </w:rPr>
        <w:t>Ligazón con otras iniciativas: “Resource efficiency &amp; Raw materials”</w:t>
      </w:r>
    </w:p>
    <w:p w:rsidR="008E58B3" w:rsidRDefault="008E58B3" w:rsidP="008E58B3">
      <w:pPr>
        <w:pStyle w:val="Prrafodelista"/>
        <w:numPr>
          <w:ilvl w:val="0"/>
          <w:numId w:val="3"/>
        </w:numPr>
        <w:jc w:val="both"/>
        <w:rPr>
          <w:lang w:val="es-ES"/>
        </w:rPr>
      </w:pPr>
      <w:r>
        <w:rPr>
          <w:lang w:val="es-ES"/>
        </w:rPr>
        <w:t>Principales debates que pueden afectar al sector:</w:t>
      </w:r>
    </w:p>
    <w:p w:rsidR="008E58B3" w:rsidRDefault="008E58B3" w:rsidP="008E58B3">
      <w:pPr>
        <w:pStyle w:val="Prrafodelista"/>
        <w:numPr>
          <w:ilvl w:val="1"/>
          <w:numId w:val="3"/>
        </w:numPr>
        <w:jc w:val="both"/>
        <w:rPr>
          <w:lang w:val="es-ES"/>
        </w:rPr>
      </w:pPr>
      <w:r>
        <w:rPr>
          <w:lang w:val="es-ES"/>
        </w:rPr>
        <w:t>Open scope</w:t>
      </w:r>
    </w:p>
    <w:p w:rsidR="008E58B3" w:rsidRDefault="008E58B3" w:rsidP="008E58B3">
      <w:pPr>
        <w:pStyle w:val="Prrafodelista"/>
        <w:numPr>
          <w:ilvl w:val="2"/>
          <w:numId w:val="3"/>
        </w:numPr>
        <w:jc w:val="both"/>
        <w:rPr>
          <w:lang w:val="es-ES"/>
        </w:rPr>
      </w:pPr>
      <w:r>
        <w:rPr>
          <w:lang w:val="es-ES"/>
        </w:rPr>
        <w:t>Equipos cubiertos por esta directiva e instalados en equipos no cubiertos</w:t>
      </w:r>
    </w:p>
    <w:p w:rsidR="008E58B3" w:rsidRDefault="008E58B3" w:rsidP="008E58B3">
      <w:pPr>
        <w:pStyle w:val="Prrafodelista"/>
        <w:numPr>
          <w:ilvl w:val="2"/>
          <w:numId w:val="3"/>
        </w:numPr>
        <w:jc w:val="both"/>
        <w:rPr>
          <w:lang w:val="es-ES"/>
        </w:rPr>
      </w:pPr>
      <w:r>
        <w:rPr>
          <w:lang w:val="es-ES"/>
        </w:rPr>
        <w:t>Significado de EEE e interpretación del término “dependent”:</w:t>
      </w:r>
    </w:p>
    <w:p w:rsidR="008E58B3" w:rsidRPr="00797CC4" w:rsidRDefault="008E58B3" w:rsidP="008E58B3">
      <w:pPr>
        <w:pStyle w:val="Prrafodelista"/>
        <w:numPr>
          <w:ilvl w:val="3"/>
          <w:numId w:val="3"/>
        </w:numPr>
        <w:jc w:val="both"/>
        <w:rPr>
          <w:lang w:val="en-US"/>
        </w:rPr>
      </w:pPr>
      <w:r w:rsidRPr="0000025A">
        <w:rPr>
          <w:lang w:val="en-US"/>
        </w:rPr>
        <w:t xml:space="preserve">Article 3: Definitions: </w:t>
      </w:r>
      <w:r w:rsidRPr="00797CC4">
        <w:rPr>
          <w:lang w:val="en-US"/>
        </w:rPr>
        <w:t>(a) ‘EEE’ means equipment which is dependent on electric currents or electromagnetic fields in order to work properly and equipment for the generation, transfer and measurement of such currents and fields (…)</w:t>
      </w:r>
    </w:p>
    <w:p w:rsidR="008E58B3" w:rsidRDefault="008E58B3" w:rsidP="008E58B3">
      <w:pPr>
        <w:pStyle w:val="Prrafodelista"/>
        <w:numPr>
          <w:ilvl w:val="3"/>
          <w:numId w:val="3"/>
        </w:numPr>
        <w:jc w:val="both"/>
        <w:rPr>
          <w:lang w:val="es-ES"/>
        </w:rPr>
      </w:pPr>
      <w:r>
        <w:rPr>
          <w:lang w:val="es-ES"/>
        </w:rPr>
        <w:t>Aparece de nuevo el concepto de “large-scale fixed installation”, en línea con los debates que se hicieron para la EMCD</w:t>
      </w:r>
    </w:p>
    <w:p w:rsidR="008E58B3" w:rsidRDefault="008E58B3" w:rsidP="008E58B3">
      <w:pPr>
        <w:pStyle w:val="Prrafodelista"/>
        <w:numPr>
          <w:ilvl w:val="2"/>
          <w:numId w:val="3"/>
        </w:numPr>
        <w:jc w:val="both"/>
        <w:rPr>
          <w:lang w:val="es-ES"/>
        </w:rPr>
      </w:pPr>
      <w:r>
        <w:rPr>
          <w:lang w:val="es-ES"/>
        </w:rPr>
        <w:t>El miedo a una posible ampliación a todos los EEE, y no sólo a los de consumo, que era la intención inicial, parece que ha desaparecido</w:t>
      </w:r>
    </w:p>
    <w:p w:rsidR="008E58B3" w:rsidRDefault="008E58B3" w:rsidP="008E58B3">
      <w:pPr>
        <w:pStyle w:val="Prrafodelista"/>
        <w:numPr>
          <w:ilvl w:val="1"/>
          <w:numId w:val="3"/>
        </w:numPr>
        <w:jc w:val="both"/>
        <w:rPr>
          <w:lang w:val="es-ES"/>
        </w:rPr>
      </w:pPr>
      <w:r>
        <w:rPr>
          <w:lang w:val="es-ES"/>
        </w:rPr>
        <w:t>También ha desaparecido el riesgo de una posible modificación del límite superior de tensión</w:t>
      </w:r>
    </w:p>
    <w:p w:rsidR="008E58B3" w:rsidRDefault="008E58B3" w:rsidP="008E58B3">
      <w:pPr>
        <w:jc w:val="both"/>
        <w:rPr>
          <w:lang w:val="es-ES"/>
        </w:rPr>
      </w:pPr>
    </w:p>
    <w:p w:rsidR="008E58B3" w:rsidRPr="00CC6991" w:rsidRDefault="008E58B3" w:rsidP="008E58B3">
      <w:pPr>
        <w:pStyle w:val="Ttulo3"/>
        <w:rPr>
          <w:lang w:val="es-ES"/>
        </w:rPr>
      </w:pPr>
      <w:r>
        <w:rPr>
          <w:lang w:val="es-ES"/>
        </w:rPr>
        <w:t>Novedades Noviembre’2013</w:t>
      </w:r>
    </w:p>
    <w:p w:rsidR="008E58B3" w:rsidRDefault="008E58B3" w:rsidP="008E58B3">
      <w:pPr>
        <w:pStyle w:val="Prrafodelista"/>
        <w:numPr>
          <w:ilvl w:val="0"/>
          <w:numId w:val="3"/>
        </w:numPr>
        <w:jc w:val="both"/>
      </w:pPr>
      <w:r w:rsidRPr="00E256A9">
        <w:rPr>
          <w:lang w:val="es-ES"/>
        </w:rPr>
        <w:t>La CE publicó su primer “</w:t>
      </w:r>
      <w:r w:rsidRPr="006E53F7">
        <w:t xml:space="preserve"> </w:t>
      </w:r>
      <w:hyperlink r:id="rId20" w:history="1">
        <w:r w:rsidRPr="00E256A9">
          <w:rPr>
            <w:rStyle w:val="Hipervnculo"/>
            <w:bCs/>
            <w:szCs w:val="22"/>
          </w:rPr>
          <w:t>draft Frequently Asked Questions</w:t>
        </w:r>
      </w:hyperlink>
      <w:r w:rsidRPr="006E53F7">
        <w:t xml:space="preserve"> (FAQ)</w:t>
      </w:r>
      <w:r>
        <w:t>”</w:t>
      </w:r>
    </w:p>
    <w:p w:rsidR="008E58B3" w:rsidRPr="00E256A9" w:rsidRDefault="008E58B3" w:rsidP="008E58B3">
      <w:pPr>
        <w:pStyle w:val="Prrafodelista"/>
        <w:numPr>
          <w:ilvl w:val="1"/>
          <w:numId w:val="3"/>
        </w:numPr>
        <w:jc w:val="both"/>
      </w:pPr>
      <w:r w:rsidRPr="00E256A9">
        <w:rPr>
          <w:lang w:val="es-ES"/>
        </w:rPr>
        <w:t>Orgalime</w:t>
      </w:r>
      <w:r>
        <w:rPr>
          <w:lang w:val="es-ES"/>
        </w:rPr>
        <w:t xml:space="preserve"> </w:t>
      </w:r>
      <w:r w:rsidRPr="00E256A9">
        <w:rPr>
          <w:lang w:val="es-ES"/>
        </w:rPr>
        <w:t xml:space="preserve">apoya este documento </w:t>
      </w:r>
    </w:p>
    <w:p w:rsidR="008E58B3" w:rsidRDefault="008E58B3" w:rsidP="008E58B3">
      <w:pPr>
        <w:pStyle w:val="Prrafodelista"/>
        <w:numPr>
          <w:ilvl w:val="1"/>
          <w:numId w:val="3"/>
        </w:numPr>
        <w:jc w:val="both"/>
        <w:rPr>
          <w:lang w:val="es-ES"/>
        </w:rPr>
      </w:pPr>
      <w:r>
        <w:rPr>
          <w:lang w:val="es-ES"/>
        </w:rPr>
        <w:t xml:space="preserve">SERÍA NECESARIO </w:t>
      </w:r>
      <w:r w:rsidRPr="00152661">
        <w:rPr>
          <w:color w:val="FF0000"/>
          <w:lang w:val="es-ES"/>
        </w:rPr>
        <w:t xml:space="preserve">QUE PEDRO </w:t>
      </w:r>
      <w:r>
        <w:rPr>
          <w:lang w:val="es-ES"/>
        </w:rPr>
        <w:t>ECHE UN VISTAZO A ALGUNAS PARTES DE ESTAS FAQ:</w:t>
      </w:r>
    </w:p>
    <w:p w:rsidR="008E58B3" w:rsidRPr="00E256A9" w:rsidRDefault="008E58B3" w:rsidP="008E58B3">
      <w:pPr>
        <w:pStyle w:val="Prrafodelista"/>
        <w:numPr>
          <w:ilvl w:val="2"/>
          <w:numId w:val="3"/>
        </w:numPr>
        <w:jc w:val="both"/>
        <w:rPr>
          <w:lang w:val="es-ES"/>
        </w:rPr>
      </w:pPr>
      <w:r>
        <w:rPr>
          <w:lang w:val="en-US"/>
        </w:rPr>
        <w:t>“</w:t>
      </w:r>
      <w:r w:rsidRPr="00E256A9">
        <w:rPr>
          <w:lang w:val="en-US"/>
        </w:rPr>
        <w:t>dependent”</w:t>
      </w:r>
    </w:p>
    <w:p w:rsidR="008E58B3" w:rsidRPr="00E256A9" w:rsidRDefault="008E58B3" w:rsidP="008E58B3">
      <w:pPr>
        <w:pStyle w:val="Prrafodelista"/>
        <w:numPr>
          <w:ilvl w:val="2"/>
          <w:numId w:val="3"/>
        </w:numPr>
        <w:jc w:val="both"/>
        <w:rPr>
          <w:lang w:val="es-ES"/>
        </w:rPr>
      </w:pPr>
      <w:r w:rsidRPr="006E53F7">
        <w:t xml:space="preserve"> “specifically designed”</w:t>
      </w:r>
    </w:p>
    <w:p w:rsidR="008E58B3" w:rsidRPr="00FD0039" w:rsidRDefault="008E58B3" w:rsidP="008E58B3">
      <w:pPr>
        <w:pStyle w:val="Prrafodelista"/>
        <w:numPr>
          <w:ilvl w:val="1"/>
          <w:numId w:val="3"/>
        </w:numPr>
        <w:jc w:val="both"/>
        <w:rPr>
          <w:lang w:val="es-ES"/>
        </w:rPr>
      </w:pPr>
      <w:r w:rsidRPr="00FD0039">
        <w:rPr>
          <w:lang w:val="es-ES"/>
        </w:rPr>
        <w:lastRenderedPageBreak/>
        <w:t>La CE revisará los comentarios que reciba, y publicará la version final “antes de finales de 2013”</w:t>
      </w:r>
    </w:p>
    <w:p w:rsidR="008E58B3" w:rsidRPr="006E53F7" w:rsidRDefault="008E58B3" w:rsidP="008E58B3">
      <w:pPr>
        <w:pStyle w:val="Prrafodelista"/>
        <w:numPr>
          <w:ilvl w:val="0"/>
          <w:numId w:val="3"/>
        </w:numPr>
      </w:pPr>
      <w:r>
        <w:rPr>
          <w:color w:val="000000"/>
        </w:rPr>
        <w:t>La “</w:t>
      </w:r>
      <w:r w:rsidRPr="00492F90">
        <w:rPr>
          <w:color w:val="000000"/>
        </w:rPr>
        <w:t>DG Environment</w:t>
      </w:r>
      <w:r>
        <w:rPr>
          <w:color w:val="000000"/>
        </w:rPr>
        <w:t xml:space="preserve">” ha contratado un estudio sobre </w:t>
      </w:r>
      <w:r w:rsidRPr="00492F90">
        <w:rPr>
          <w:color w:val="000000"/>
        </w:rPr>
        <w:t>“Equivalent conditions for waste electrical and electronic equipment (WEEE) recycling operations taking place outside the European Union”</w:t>
      </w:r>
    </w:p>
    <w:p w:rsidR="008E58B3" w:rsidRPr="001970B6" w:rsidRDefault="008E58B3" w:rsidP="008E58B3">
      <w:pPr>
        <w:jc w:val="both"/>
      </w:pPr>
    </w:p>
    <w:p w:rsidR="00036EAC" w:rsidRPr="00CC6991" w:rsidRDefault="00036EAC" w:rsidP="00036EAC">
      <w:pPr>
        <w:pStyle w:val="Ttulo3"/>
        <w:rPr>
          <w:lang w:val="es-ES"/>
        </w:rPr>
      </w:pPr>
      <w:r>
        <w:rPr>
          <w:lang w:val="es-ES"/>
        </w:rPr>
        <w:t>Novedades Mayo’2014</w:t>
      </w:r>
    </w:p>
    <w:p w:rsidR="00036EAC" w:rsidRDefault="00A40D3E" w:rsidP="00036EAC">
      <w:pPr>
        <w:pStyle w:val="Prrafodelista"/>
        <w:numPr>
          <w:ilvl w:val="0"/>
          <w:numId w:val="3"/>
        </w:numPr>
        <w:jc w:val="both"/>
        <w:rPr>
          <w:lang w:val="es-ES"/>
        </w:rPr>
      </w:pPr>
      <w:r>
        <w:rPr>
          <w:lang w:val="es-ES"/>
        </w:rPr>
        <w:t>Ya que ha pasado la fecha límite de transposición (feb’2014)</w:t>
      </w:r>
      <w:r w:rsidR="00F6413B">
        <w:rPr>
          <w:lang w:val="es-ES"/>
        </w:rPr>
        <w:t>, la CE ha lanzado el proceso de incumplimiento con aquellos EM que no han cumplido</w:t>
      </w:r>
    </w:p>
    <w:p w:rsidR="00F6413B" w:rsidRDefault="00F6413B" w:rsidP="00F6413B">
      <w:pPr>
        <w:pStyle w:val="Prrafodelista"/>
        <w:numPr>
          <w:ilvl w:val="1"/>
          <w:numId w:val="3"/>
        </w:numPr>
        <w:jc w:val="both"/>
        <w:rPr>
          <w:lang w:val="es-ES"/>
        </w:rPr>
      </w:pPr>
      <w:r>
        <w:rPr>
          <w:lang w:val="es-ES"/>
        </w:rPr>
        <w:t>Únicamente Bulgaria, Dinamarca, Holanda y UK has transpuesto la directiva en su totalidad</w:t>
      </w:r>
    </w:p>
    <w:p w:rsidR="00B96E52" w:rsidRDefault="00B96E52" w:rsidP="00B96E52">
      <w:pPr>
        <w:pStyle w:val="Prrafodelista"/>
        <w:numPr>
          <w:ilvl w:val="0"/>
          <w:numId w:val="3"/>
        </w:numPr>
        <w:jc w:val="both"/>
        <w:rPr>
          <w:lang w:val="es-ES"/>
        </w:rPr>
      </w:pPr>
      <w:r>
        <w:rPr>
          <w:lang w:val="es-ES"/>
        </w:rPr>
        <w:t>En abril de 2014 se ha publicado una versión consolidada de los FAQ’s</w:t>
      </w:r>
    </w:p>
    <w:p w:rsidR="00B96E52" w:rsidRDefault="00B96E52" w:rsidP="00B96E52">
      <w:pPr>
        <w:pStyle w:val="Prrafodelista"/>
        <w:numPr>
          <w:ilvl w:val="1"/>
          <w:numId w:val="3"/>
        </w:numPr>
        <w:jc w:val="both"/>
        <w:rPr>
          <w:lang w:val="es-ES"/>
        </w:rPr>
      </w:pPr>
      <w:r>
        <w:rPr>
          <w:lang w:val="es-ES"/>
        </w:rPr>
        <w:t>De nuevo aparece nuestro “mantra” sobre las “large scale fixed installations”</w:t>
      </w:r>
    </w:p>
    <w:p w:rsidR="00340BF5" w:rsidRDefault="00340BF5" w:rsidP="00340BF5">
      <w:pPr>
        <w:pStyle w:val="Prrafodelista"/>
        <w:numPr>
          <w:ilvl w:val="0"/>
          <w:numId w:val="3"/>
        </w:numPr>
        <w:jc w:val="both"/>
        <w:rPr>
          <w:lang w:val="es-ES"/>
        </w:rPr>
      </w:pPr>
      <w:r>
        <w:rPr>
          <w:lang w:val="es-ES"/>
        </w:rPr>
        <w:t>Otra consultora ha terminado la revisión del “scope” … se conocerán los resultados “en breve”</w:t>
      </w:r>
    </w:p>
    <w:p w:rsidR="004A55E1" w:rsidRDefault="004A55E1" w:rsidP="004A55E1">
      <w:pPr>
        <w:pStyle w:val="Prrafodelista"/>
        <w:numPr>
          <w:ilvl w:val="1"/>
          <w:numId w:val="3"/>
        </w:numPr>
        <w:jc w:val="both"/>
        <w:rPr>
          <w:lang w:val="es-ES"/>
        </w:rPr>
      </w:pPr>
      <w:r>
        <w:rPr>
          <w:lang w:val="es-ES"/>
        </w:rPr>
        <w:t>Parece ser que no se propondrán cambios</w:t>
      </w:r>
    </w:p>
    <w:p w:rsidR="006F02D4" w:rsidRDefault="006F02D4" w:rsidP="004A55E1">
      <w:pPr>
        <w:pStyle w:val="Prrafodelista"/>
        <w:numPr>
          <w:ilvl w:val="1"/>
          <w:numId w:val="3"/>
        </w:numPr>
        <w:jc w:val="both"/>
        <w:rPr>
          <w:lang w:val="es-ES"/>
        </w:rPr>
      </w:pPr>
      <w:r>
        <w:rPr>
          <w:lang w:val="es-ES"/>
        </w:rPr>
        <w:t>La CE deberá revisar el alcance para agosto de 2015</w:t>
      </w:r>
    </w:p>
    <w:p w:rsidR="004A55E1" w:rsidRDefault="004A55E1" w:rsidP="004A55E1">
      <w:pPr>
        <w:pStyle w:val="Prrafodelista"/>
        <w:numPr>
          <w:ilvl w:val="0"/>
          <w:numId w:val="3"/>
        </w:numPr>
        <w:jc w:val="both"/>
        <w:rPr>
          <w:lang w:val="es-ES"/>
        </w:rPr>
      </w:pPr>
      <w:r>
        <w:rPr>
          <w:lang w:val="es-ES"/>
        </w:rPr>
        <w:t>Hay otro estudio en marcha sobre la metodología para calcular los EEE “placed on the market”, así como los WEEE generados en los EM</w:t>
      </w:r>
    </w:p>
    <w:p w:rsidR="008139DE" w:rsidRDefault="008139DE" w:rsidP="008139DE">
      <w:pPr>
        <w:jc w:val="both"/>
        <w:rPr>
          <w:lang w:val="es-ES"/>
        </w:rPr>
      </w:pPr>
    </w:p>
    <w:p w:rsidR="008139DE" w:rsidRDefault="008139DE" w:rsidP="008139DE">
      <w:pPr>
        <w:jc w:val="both"/>
        <w:rPr>
          <w:lang w:val="es-ES"/>
        </w:rPr>
      </w:pPr>
      <w:r>
        <w:rPr>
          <w:lang w:val="es-ES"/>
        </w:rPr>
        <w:t>Comentarios PM</w:t>
      </w:r>
    </w:p>
    <w:p w:rsidR="008139DE" w:rsidRPr="00C06FBF" w:rsidRDefault="008139DE" w:rsidP="008139DE">
      <w:pPr>
        <w:pStyle w:val="Prrafodelista"/>
        <w:numPr>
          <w:ilvl w:val="0"/>
          <w:numId w:val="3"/>
        </w:numPr>
        <w:jc w:val="both"/>
        <w:rPr>
          <w:color w:val="4F81BD" w:themeColor="accent1"/>
          <w:lang w:val="es-ES"/>
        </w:rPr>
      </w:pPr>
      <w:r w:rsidRPr="00C06FBF">
        <w:rPr>
          <w:color w:val="4F81BD" w:themeColor="accent1"/>
          <w:lang w:val="es-ES"/>
        </w:rPr>
        <w:t xml:space="preserve">-A pesar de haberse cumplido el plazo feb -2014 para la transposición, esta  no se ha producido. El  MAGRAMA está trabajando en la transposición de la Directiva de RAEES II con las CCAA para el desarrollo de este elemento normativo, aunque aún no se dispone de un borrador de transposición, sino de un documento de trabajo. La intención es que para el verano pueda salir a consulta pública un texto. </w:t>
      </w:r>
    </w:p>
    <w:p w:rsidR="008139DE" w:rsidRPr="00C06FBF" w:rsidRDefault="008139DE" w:rsidP="008139DE">
      <w:pPr>
        <w:pStyle w:val="Prrafodelista"/>
        <w:numPr>
          <w:ilvl w:val="0"/>
          <w:numId w:val="3"/>
        </w:numPr>
        <w:jc w:val="both"/>
        <w:rPr>
          <w:color w:val="4F81BD" w:themeColor="accent1"/>
          <w:lang w:val="es-ES_tradnl"/>
        </w:rPr>
      </w:pPr>
      <w:r w:rsidRPr="00C06FBF">
        <w:rPr>
          <w:color w:val="4F81BD" w:themeColor="accent1"/>
          <w:lang w:val="es-ES"/>
        </w:rPr>
        <w:t xml:space="preserve">La CE ha publicado en abril 2014  su versión consolidada  de las </w:t>
      </w:r>
      <w:r w:rsidRPr="00C06FBF">
        <w:rPr>
          <w:color w:val="4F81BD" w:themeColor="accent1"/>
          <w:lang w:val="es-ES_tradnl"/>
        </w:rPr>
        <w:t>(FAQ) de la Weee.</w:t>
      </w:r>
    </w:p>
    <w:p w:rsidR="008139DE" w:rsidRPr="00C06FBF" w:rsidRDefault="008139DE" w:rsidP="008139DE">
      <w:pPr>
        <w:pStyle w:val="Prrafodelista"/>
        <w:jc w:val="both"/>
        <w:rPr>
          <w:color w:val="4F81BD" w:themeColor="accent1"/>
          <w:lang w:val="es-ES_tradnl"/>
        </w:rPr>
      </w:pPr>
      <w:r w:rsidRPr="00C06FBF">
        <w:rPr>
          <w:color w:val="4F81BD" w:themeColor="accent1"/>
          <w:lang w:val="es-ES_tradnl"/>
        </w:rPr>
        <w:t>Aclara definiciones de:</w:t>
      </w:r>
    </w:p>
    <w:p w:rsidR="008139DE" w:rsidRPr="00C06FBF" w:rsidRDefault="008139DE" w:rsidP="008139DE">
      <w:pPr>
        <w:pStyle w:val="Prrafodelista"/>
        <w:numPr>
          <w:ilvl w:val="2"/>
          <w:numId w:val="3"/>
        </w:numPr>
        <w:jc w:val="both"/>
        <w:rPr>
          <w:color w:val="4F81BD" w:themeColor="accent1"/>
          <w:lang w:val="es-ES"/>
        </w:rPr>
      </w:pPr>
      <w:r w:rsidRPr="00C06FBF">
        <w:rPr>
          <w:color w:val="4F81BD" w:themeColor="accent1"/>
          <w:lang w:val="en-US"/>
        </w:rPr>
        <w:t>“dependent”</w:t>
      </w:r>
    </w:p>
    <w:p w:rsidR="008139DE" w:rsidRPr="00C06FBF" w:rsidRDefault="008139DE" w:rsidP="008139DE">
      <w:pPr>
        <w:pStyle w:val="Prrafodelista"/>
        <w:numPr>
          <w:ilvl w:val="2"/>
          <w:numId w:val="3"/>
        </w:numPr>
        <w:jc w:val="both"/>
        <w:rPr>
          <w:color w:val="4F81BD" w:themeColor="accent1"/>
          <w:lang w:val="es-ES"/>
        </w:rPr>
      </w:pPr>
      <w:r w:rsidRPr="00C06FBF">
        <w:rPr>
          <w:color w:val="4F81BD" w:themeColor="accent1"/>
        </w:rPr>
        <w:t xml:space="preserve"> “specifically designed”</w:t>
      </w:r>
    </w:p>
    <w:p w:rsidR="008139DE" w:rsidRPr="00C06FBF" w:rsidRDefault="008139DE" w:rsidP="008139DE">
      <w:pPr>
        <w:autoSpaceDE w:val="0"/>
        <w:autoSpaceDN w:val="0"/>
        <w:adjustRightInd w:val="0"/>
        <w:ind w:left="709"/>
        <w:rPr>
          <w:rFonts w:ascii="Helv" w:hAnsi="Helv" w:cs="Helv"/>
          <w:b/>
          <w:bCs/>
          <w:color w:val="4F81BD" w:themeColor="accent1"/>
          <w:lang w:val="en-US"/>
        </w:rPr>
      </w:pPr>
      <w:r w:rsidRPr="00C06FBF">
        <w:rPr>
          <w:rFonts w:ascii="Helv" w:hAnsi="Helv" w:cs="Helv"/>
          <w:b/>
          <w:bCs/>
          <w:color w:val="4F81BD" w:themeColor="accent1"/>
          <w:lang w:val="en-US"/>
        </w:rPr>
        <w:lastRenderedPageBreak/>
        <w:t xml:space="preserve">4.1. What does ‘dependent on electric currents or electromagnetic fields in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b/>
          <w:bCs/>
          <w:color w:val="4F81BD" w:themeColor="accent1"/>
          <w:lang w:val="en-US"/>
        </w:rPr>
      </w:pPr>
      <w:r w:rsidRPr="00C06FBF">
        <w:rPr>
          <w:rFonts w:ascii="Helv" w:hAnsi="Helv" w:cs="Helv"/>
          <w:b/>
          <w:bCs/>
          <w:color w:val="4F81BD" w:themeColor="accent1"/>
          <w:lang w:val="en-US"/>
        </w:rPr>
        <w:t xml:space="preserve">order to work properly’ mean?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t xml:space="preserve">‘Dependent on electric currents or electromagnetic fields in order to work properly’ means that the equipment needs electric currents or electromagnetic fields (e.g. not petrol or gas) to fulfil its basic function (i.e., when the electric current is off, the equipment cannot fulfil its basic function). If electrical energy is used only for support or control functions, this type of equipment is not covered by the Directive. Examples of equipment that does not need electricity to fulfil its basic function, (but only requires, for example, a spark to start), include petrol lawn mowers and gas stoves with electronic ignition only (see also Appendix, Part 2).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t xml:space="preserve">Some types of equipment that now fall within the scope of the new RoHS Directive (Directive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t>2011/65/EU)  as a result of its more specific definition of ‘dependent’ (on electricity) given in article 3(2), may still be outside the scope of the new WEEE Directive, as the Directive does not contain this more specific definition according to which ‘dependent’ means, with regard to EEE, needing electric currents or electromagnetic fields to fulfil at least one intended function.</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4F81BD" w:themeColor="accent1"/>
          <w:lang w:val="en-US"/>
        </w:rPr>
      </w:pPr>
    </w:p>
    <w:p w:rsidR="008139DE" w:rsidRPr="00C06FBF" w:rsidRDefault="008139DE" w:rsidP="008139DE">
      <w:pPr>
        <w:autoSpaceDE w:val="0"/>
        <w:autoSpaceDN w:val="0"/>
        <w:adjustRightInd w:val="0"/>
        <w:ind w:left="709"/>
        <w:rPr>
          <w:rFonts w:ascii="Helv" w:hAnsi="Helv" w:cs="Helv"/>
          <w:b/>
          <w:bCs/>
          <w:color w:val="4F81BD" w:themeColor="accent1"/>
          <w:lang w:val="en-US"/>
        </w:rPr>
      </w:pPr>
      <w:r w:rsidRPr="00C06FBF">
        <w:rPr>
          <w:rFonts w:ascii="Helv" w:hAnsi="Helv" w:cs="Helv"/>
          <w:b/>
          <w:bCs/>
          <w:color w:val="4F81BD" w:themeColor="accent1"/>
          <w:lang w:val="en-US"/>
        </w:rPr>
        <w:t xml:space="preserve">3.14. What type of equipment falls under the exclusion in Article 2(3)(b) as </w:t>
      </w:r>
    </w:p>
    <w:p w:rsidR="008139DE" w:rsidRPr="00C06FBF" w:rsidRDefault="008139DE" w:rsidP="008139DE">
      <w:pPr>
        <w:autoSpaceDE w:val="0"/>
        <w:autoSpaceDN w:val="0"/>
        <w:adjustRightInd w:val="0"/>
        <w:ind w:left="709"/>
        <w:rPr>
          <w:rFonts w:ascii="Helv" w:hAnsi="Helv" w:cs="Helv"/>
          <w:b/>
          <w:bCs/>
          <w:color w:val="4F81BD" w:themeColor="accent1"/>
          <w:lang w:val="en-US"/>
        </w:rPr>
      </w:pPr>
      <w:r w:rsidRPr="00C06FBF">
        <w:rPr>
          <w:rFonts w:ascii="Helv" w:hAnsi="Helv" w:cs="Helv"/>
          <w:b/>
          <w:bCs/>
          <w:color w:val="4F81BD" w:themeColor="accent1"/>
          <w:lang w:val="en-US"/>
        </w:rPr>
        <w:t xml:space="preserve">‘specifically designed and installed as part of another equipment…’? </w:t>
      </w:r>
    </w:p>
    <w:p w:rsidR="008139DE" w:rsidRPr="00C06FBF" w:rsidRDefault="008139DE" w:rsidP="008139DE">
      <w:pPr>
        <w:autoSpaceDE w:val="0"/>
        <w:autoSpaceDN w:val="0"/>
        <w:adjustRightInd w:val="0"/>
        <w:ind w:left="709"/>
        <w:rPr>
          <w:rFonts w:ascii="Helv" w:hAnsi="Helv" w:cs="Helv"/>
          <w:b/>
          <w:bCs/>
          <w:color w:val="4F81BD" w:themeColor="accent1"/>
          <w:lang w:val="en-US"/>
        </w:rPr>
      </w:pP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t xml:space="preserve">If equipment is specifically produced in order to be installed as part of another type of equipment that is excluded from or does not fall within the scope of the Directive and can fulfil its function only if it is part of that equipment, such equipment is ‘specifically designed’ and falls out of the scope of the Directive (Article 2(3)(b)). In these cases “specifically designed” equipment means that it </w:t>
      </w:r>
      <w:r w:rsidRPr="00C118B5">
        <w:rPr>
          <w:rFonts w:ascii="Helv" w:hAnsi="Helv" w:cs="Helv"/>
          <w:b/>
          <w:color w:val="4F81BD" w:themeColor="accent1"/>
          <w:lang w:val="en-US"/>
        </w:rPr>
        <w:t>is tailor made</w:t>
      </w:r>
      <w:r w:rsidRPr="00C06FBF">
        <w:rPr>
          <w:rFonts w:ascii="Helv" w:hAnsi="Helv" w:cs="Helv"/>
          <w:color w:val="4F81BD" w:themeColor="accent1"/>
          <w:lang w:val="en-US"/>
        </w:rPr>
        <w:t xml:space="preserve"> since it is designed to meet the needs of a specific application in the equipment that it is part of.</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lastRenderedPageBreak/>
        <w:t xml:space="preserve"> Examples of specifically designed equipment to be installed as part of another type of equipment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709"/>
        <w:rPr>
          <w:rFonts w:ascii="Helv" w:hAnsi="Helv" w:cs="Helv"/>
          <w:color w:val="4F81BD" w:themeColor="accent1"/>
          <w:lang w:val="en-US"/>
        </w:rPr>
      </w:pPr>
      <w:r w:rsidRPr="00C06FBF">
        <w:rPr>
          <w:rFonts w:ascii="Helv" w:hAnsi="Helv" w:cs="Helv"/>
          <w:color w:val="4F81BD" w:themeColor="accent1"/>
          <w:lang w:val="en-US"/>
        </w:rPr>
        <w:t xml:space="preserve">that is excluded from the scope of the Directive include: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1418"/>
        <w:rPr>
          <w:rFonts w:ascii="Helv" w:hAnsi="Helv" w:cs="Helv"/>
          <w:color w:val="4F81BD" w:themeColor="accent1"/>
          <w:lang w:val="en-US"/>
        </w:rPr>
      </w:pPr>
      <w:r w:rsidRPr="00C06FBF">
        <w:rPr>
          <w:rFonts w:ascii="Helv" w:hAnsi="Helv" w:cs="Helv"/>
          <w:color w:val="4F81BD" w:themeColor="accent1"/>
          <w:lang w:val="en-US"/>
        </w:rPr>
        <w:t xml:space="preserve">- equipment specifically designed, dimensioned and customized to be used as part of a specific large-scale fixed installation (’LSFI’) (e.g. sensor equipment with a size, electrical interface and mounting features designed to fit inside drill heads). </w:t>
      </w:r>
    </w:p>
    <w:p w:rsidR="008139DE" w:rsidRPr="00C06FBF" w:rsidRDefault="008139DE" w:rsidP="008139DE">
      <w:pPr>
        <w:tabs>
          <w:tab w:val="left" w:pos="-720"/>
          <w:tab w:val="left" w:pos="0"/>
          <w:tab w:val="left" w:pos="720"/>
          <w:tab w:val="left" w:pos="1440"/>
          <w:tab w:val="left" w:pos="2160"/>
          <w:tab w:val="left" w:pos="2880"/>
          <w:tab w:val="left" w:pos="3600"/>
          <w:tab w:val="left" w:pos="4320"/>
        </w:tabs>
        <w:autoSpaceDE w:val="0"/>
        <w:autoSpaceDN w:val="0"/>
        <w:adjustRightInd w:val="0"/>
        <w:ind w:left="1418"/>
        <w:rPr>
          <w:rFonts w:ascii="Helv" w:hAnsi="Helv" w:cs="Helv"/>
          <w:color w:val="4F81BD" w:themeColor="accent1"/>
          <w:lang w:val="en-US"/>
        </w:rPr>
      </w:pPr>
      <w:r w:rsidRPr="00C06FBF">
        <w:rPr>
          <w:rFonts w:ascii="Helv" w:hAnsi="Helv" w:cs="Helv"/>
          <w:color w:val="4F81BD" w:themeColor="accent1"/>
          <w:lang w:val="en-US"/>
        </w:rPr>
        <w:t xml:space="preserve">- Equipment designed specifically to be installed as part of a large-scale stationary industrial tool ‘LSSIT’ (e.g. pumps designed for transport of cooling lubricants for LSSIT). </w:t>
      </w:r>
    </w:p>
    <w:p w:rsidR="008139DE" w:rsidRPr="008139DE" w:rsidRDefault="008139DE" w:rsidP="008139DE">
      <w:pPr>
        <w:jc w:val="both"/>
        <w:rPr>
          <w:lang w:val="en-US"/>
        </w:rPr>
      </w:pPr>
      <w:r w:rsidRPr="00C06FBF">
        <w:rPr>
          <w:rFonts w:ascii="Helv" w:hAnsi="Helv" w:cs="Helv"/>
          <w:color w:val="4F81BD" w:themeColor="accent1"/>
          <w:lang w:val="en-US"/>
        </w:rPr>
        <w:t>Examples of specifically designed equipment to be installed as part of another type of equipment that does not fall within the scope of the Directive include navigation devices designed for specific models of cars and incorporated into the car and galley equipment designed for an individual aircraft or range of aircraft. Conversely, equipment intended to be fitted, for example, to any automobile such as hands-free phone systems and retrofit satellite navigation devices is not ‘specifically designed’ and does not benefit from this exclusio</w:t>
      </w:r>
      <w:r w:rsidRPr="00C06FBF">
        <w:rPr>
          <w:rFonts w:ascii="Helv" w:hAnsi="Helv" w:cs="Helv"/>
          <w:color w:val="4F81BD" w:themeColor="accent1"/>
          <w:lang w:val="en-US"/>
        </w:rPr>
        <w:br/>
      </w:r>
    </w:p>
    <w:p w:rsidR="00592720" w:rsidRDefault="0094485C" w:rsidP="0085269C">
      <w:pPr>
        <w:pStyle w:val="Ttulo2"/>
        <w:tabs>
          <w:tab w:val="clear" w:pos="0"/>
          <w:tab w:val="num" w:pos="851"/>
        </w:tabs>
        <w:ind w:left="851" w:hanging="851"/>
        <w:jc w:val="both"/>
        <w:rPr>
          <w:b w:val="0"/>
          <w:i w:val="0"/>
          <w:lang w:val="es-ES"/>
        </w:rPr>
      </w:pPr>
      <w:bookmarkStart w:id="13" w:name="_Toc404614851"/>
      <w:r w:rsidRPr="0085269C">
        <w:rPr>
          <w:b w:val="0"/>
          <w:i w:val="0"/>
          <w:lang w:val="es-ES"/>
        </w:rPr>
        <w:t>ROHS</w:t>
      </w:r>
      <w:r w:rsidR="008E58B3">
        <w:rPr>
          <w:b w:val="0"/>
          <w:i w:val="0"/>
          <w:lang w:val="es-ES"/>
        </w:rPr>
        <w:t xml:space="preserve"> 2</w:t>
      </w:r>
      <w:r w:rsidRPr="0085269C">
        <w:rPr>
          <w:b w:val="0"/>
          <w:i w:val="0"/>
          <w:lang w:val="es-ES"/>
        </w:rPr>
        <w:t xml:space="preserve"> - </w:t>
      </w:r>
      <w:r w:rsidR="00AD5F29" w:rsidRPr="0085269C">
        <w:rPr>
          <w:b w:val="0"/>
          <w:i w:val="0"/>
          <w:lang w:val="es-ES"/>
        </w:rPr>
        <w:t xml:space="preserve">directiva sobre la restricción en el uso de ciertas substancias peligrosas en los equipos eléctricos y electrónicos </w:t>
      </w:r>
      <w:r w:rsidRPr="0085269C">
        <w:rPr>
          <w:b w:val="0"/>
          <w:i w:val="0"/>
          <w:lang w:val="es-ES"/>
        </w:rPr>
        <w:t>(</w:t>
      </w:r>
      <w:r w:rsidR="00592720" w:rsidRPr="0085269C">
        <w:rPr>
          <w:b w:val="0"/>
          <w:i w:val="0"/>
          <w:lang w:val="es-ES"/>
        </w:rPr>
        <w:t>2011/65/EC</w:t>
      </w:r>
      <w:bookmarkEnd w:id="12"/>
      <w:r w:rsidRPr="0085269C">
        <w:rPr>
          <w:b w:val="0"/>
          <w:i w:val="0"/>
          <w:lang w:val="es-ES"/>
        </w:rPr>
        <w:t>)</w:t>
      </w:r>
      <w:bookmarkEnd w:id="13"/>
    </w:p>
    <w:p w:rsidR="001D0228" w:rsidRDefault="001D0228" w:rsidP="001D0228">
      <w:pPr>
        <w:rPr>
          <w:lang w:val="es-ES"/>
        </w:rPr>
      </w:pPr>
    </w:p>
    <w:p w:rsidR="001D0228" w:rsidRPr="001D0228" w:rsidRDefault="001D0228" w:rsidP="00411495">
      <w:pPr>
        <w:pStyle w:val="Prrafodelista"/>
        <w:numPr>
          <w:ilvl w:val="0"/>
          <w:numId w:val="27"/>
        </w:numPr>
        <w:rPr>
          <w:color w:val="4F81BD" w:themeColor="accent1"/>
          <w:lang w:val="es-ES"/>
        </w:rPr>
      </w:pPr>
      <w:r w:rsidRPr="001D0228">
        <w:rPr>
          <w:color w:val="4F81BD" w:themeColor="accent1"/>
          <w:lang w:val="es-ES"/>
        </w:rPr>
        <w:t>Tratado de Funcionamiento de la Unión Europea Articulo 114, antiguo 95 del TCE,</w:t>
      </w:r>
    </w:p>
    <w:p w:rsidR="001D0228" w:rsidRPr="001D0228" w:rsidRDefault="00F5022D" w:rsidP="00411495">
      <w:pPr>
        <w:pStyle w:val="Prrafodelista"/>
        <w:numPr>
          <w:ilvl w:val="0"/>
          <w:numId w:val="27"/>
        </w:numPr>
        <w:jc w:val="both"/>
        <w:rPr>
          <w:color w:val="4F81BD" w:themeColor="accent1"/>
          <w:lang w:val="es-ES"/>
        </w:rPr>
      </w:pPr>
      <w:hyperlink r:id="rId21" w:history="1">
        <w:r w:rsidR="001D0228" w:rsidRPr="001D0228">
          <w:rPr>
            <w:color w:val="4F81BD" w:themeColor="accent1"/>
            <w:lang w:val="es-ES"/>
          </w:rPr>
          <w:t>http://ec.europa.eu/environment/waste/rohs_eee/events_rohs3_en.htm</w:t>
        </w:r>
      </w:hyperlink>
    </w:p>
    <w:p w:rsidR="00EB766E" w:rsidRPr="001D0228" w:rsidRDefault="00EB766E" w:rsidP="00411495">
      <w:pPr>
        <w:pStyle w:val="Prrafodelista"/>
        <w:numPr>
          <w:ilvl w:val="0"/>
          <w:numId w:val="28"/>
        </w:numPr>
        <w:jc w:val="both"/>
        <w:rPr>
          <w:rFonts w:cs="Arial"/>
          <w:lang w:val="en-US"/>
        </w:rPr>
      </w:pPr>
      <w:r w:rsidRPr="001D0228">
        <w:rPr>
          <w:rFonts w:cs="Arial"/>
          <w:lang w:val="en-US"/>
        </w:rPr>
        <w:t>A modo de resumen:</w:t>
      </w:r>
    </w:p>
    <w:p w:rsidR="00EB766E" w:rsidRPr="00EB766E" w:rsidRDefault="00EB766E" w:rsidP="001D0228">
      <w:pPr>
        <w:pStyle w:val="Prrafodelista"/>
        <w:numPr>
          <w:ilvl w:val="1"/>
          <w:numId w:val="3"/>
        </w:numPr>
        <w:jc w:val="both"/>
        <w:rPr>
          <w:rFonts w:cs="Arial"/>
          <w:lang w:val="es-ES"/>
        </w:rPr>
      </w:pPr>
      <w:r w:rsidRPr="00EB766E">
        <w:rPr>
          <w:rFonts w:cs="Arial"/>
          <w:lang w:val="es-ES"/>
        </w:rPr>
        <w:t>RoHS 1 (</w:t>
      </w:r>
      <w:r>
        <w:rPr>
          <w:rFonts w:cs="Arial"/>
          <w:lang w:val="es-ES"/>
        </w:rPr>
        <w:t xml:space="preserve">revocada en enero de </w:t>
      </w:r>
      <w:r w:rsidRPr="00EB766E">
        <w:rPr>
          <w:rFonts w:cs="Arial"/>
          <w:lang w:val="es-ES"/>
        </w:rPr>
        <w:t>2013)</w:t>
      </w:r>
    </w:p>
    <w:p w:rsidR="00EB766E" w:rsidRPr="00EB766E" w:rsidRDefault="00EB766E" w:rsidP="001D0228">
      <w:pPr>
        <w:pStyle w:val="Prrafodelista"/>
        <w:numPr>
          <w:ilvl w:val="2"/>
          <w:numId w:val="3"/>
        </w:numPr>
        <w:jc w:val="both"/>
        <w:rPr>
          <w:rFonts w:cs="Arial"/>
          <w:lang w:val="es-ES"/>
        </w:rPr>
      </w:pPr>
      <w:r w:rsidRPr="00EB766E">
        <w:rPr>
          <w:rFonts w:cs="Arial"/>
          <w:lang w:val="es-ES"/>
        </w:rPr>
        <w:t>Directiva 2002/95/EC de enero de 2003</w:t>
      </w:r>
    </w:p>
    <w:p w:rsidR="00EB766E" w:rsidRPr="00EB766E" w:rsidRDefault="00EB766E" w:rsidP="001D0228">
      <w:pPr>
        <w:pStyle w:val="Prrafodelista"/>
        <w:numPr>
          <w:ilvl w:val="2"/>
          <w:numId w:val="3"/>
        </w:numPr>
        <w:jc w:val="both"/>
        <w:rPr>
          <w:rFonts w:cs="Arial"/>
          <w:lang w:val="es-ES"/>
        </w:rPr>
      </w:pPr>
      <w:r w:rsidRPr="00EB766E">
        <w:rPr>
          <w:rFonts w:cs="Arial"/>
          <w:lang w:val="es-ES"/>
        </w:rPr>
        <w:t>Directiva 2008/35/EC de marzo de 2008</w:t>
      </w:r>
      <w:r>
        <w:rPr>
          <w:rFonts w:cs="Arial"/>
          <w:lang w:val="es-ES"/>
        </w:rPr>
        <w:t>, que enmienda la anterior</w:t>
      </w:r>
    </w:p>
    <w:p w:rsidR="00EB766E" w:rsidRPr="00EB766E" w:rsidRDefault="00EB766E" w:rsidP="001D0228">
      <w:pPr>
        <w:pStyle w:val="Prrafodelista"/>
        <w:numPr>
          <w:ilvl w:val="1"/>
          <w:numId w:val="3"/>
        </w:numPr>
        <w:jc w:val="both"/>
        <w:rPr>
          <w:rFonts w:cs="Arial"/>
          <w:lang w:val="es-ES"/>
        </w:rPr>
      </w:pPr>
      <w:r w:rsidRPr="00EB766E">
        <w:rPr>
          <w:rFonts w:cs="Arial"/>
          <w:lang w:val="es-ES"/>
        </w:rPr>
        <w:t>RoHS 2</w:t>
      </w:r>
    </w:p>
    <w:p w:rsidR="00EB766E" w:rsidRPr="00EB766E" w:rsidRDefault="00EB766E" w:rsidP="001D0228">
      <w:pPr>
        <w:pStyle w:val="Prrafodelista"/>
        <w:numPr>
          <w:ilvl w:val="2"/>
          <w:numId w:val="3"/>
        </w:numPr>
        <w:jc w:val="both"/>
        <w:rPr>
          <w:rFonts w:cs="Arial"/>
          <w:lang w:val="es-ES"/>
        </w:rPr>
      </w:pPr>
      <w:r w:rsidRPr="00EB766E">
        <w:rPr>
          <w:rFonts w:cs="Arial"/>
          <w:lang w:val="es-ES"/>
        </w:rPr>
        <w:lastRenderedPageBreak/>
        <w:t>Directive 2011/65/EU de junio de 2011</w:t>
      </w:r>
    </w:p>
    <w:p w:rsidR="00592720" w:rsidRPr="00EB766E" w:rsidRDefault="00C538E9" w:rsidP="001D0228">
      <w:pPr>
        <w:pStyle w:val="Prrafodelista"/>
        <w:numPr>
          <w:ilvl w:val="2"/>
          <w:numId w:val="3"/>
        </w:numPr>
        <w:jc w:val="both"/>
        <w:rPr>
          <w:rFonts w:cs="Arial"/>
          <w:lang w:val="es-ES"/>
        </w:rPr>
      </w:pPr>
      <w:r w:rsidRPr="00EB766E">
        <w:rPr>
          <w:rFonts w:cs="Arial"/>
          <w:lang w:val="es-ES"/>
        </w:rPr>
        <w:t>Documento publicado en Junio de 2011 con entrada e</w:t>
      </w:r>
      <w:r w:rsidR="00592720" w:rsidRPr="00EB766E">
        <w:rPr>
          <w:rFonts w:cs="Arial"/>
          <w:lang w:val="es-ES"/>
        </w:rPr>
        <w:t>n vigor desde Julio de 2011</w:t>
      </w:r>
      <w:r w:rsidRPr="00EB766E">
        <w:rPr>
          <w:rFonts w:cs="Arial"/>
          <w:lang w:val="es-ES"/>
        </w:rPr>
        <w:t>, y fecha límite de t</w:t>
      </w:r>
      <w:r w:rsidR="00592720" w:rsidRPr="00EB766E">
        <w:rPr>
          <w:rFonts w:cs="Arial"/>
          <w:lang w:val="es-ES"/>
        </w:rPr>
        <w:t>ransposición</w:t>
      </w:r>
      <w:r w:rsidRPr="00EB766E">
        <w:rPr>
          <w:rFonts w:cs="Arial"/>
          <w:lang w:val="es-ES"/>
        </w:rPr>
        <w:t xml:space="preserve"> para el </w:t>
      </w:r>
      <w:r w:rsidR="00592720" w:rsidRPr="00EB766E">
        <w:rPr>
          <w:rFonts w:cs="Arial"/>
          <w:lang w:val="es-ES"/>
        </w:rPr>
        <w:t>02/01/2013</w:t>
      </w:r>
      <w:r w:rsidR="007A3B40" w:rsidRPr="00EB766E">
        <w:rPr>
          <w:rFonts w:cs="Arial"/>
          <w:lang w:val="es-ES"/>
        </w:rPr>
        <w:t>.</w:t>
      </w:r>
    </w:p>
    <w:p w:rsidR="007A3B40" w:rsidRPr="00EB766E" w:rsidRDefault="007A3B40" w:rsidP="001D0228">
      <w:pPr>
        <w:pStyle w:val="Prrafodelista"/>
        <w:numPr>
          <w:ilvl w:val="2"/>
          <w:numId w:val="3"/>
        </w:numPr>
        <w:jc w:val="both"/>
        <w:rPr>
          <w:rFonts w:cs="Arial"/>
          <w:lang w:val="es-ES"/>
        </w:rPr>
      </w:pPr>
      <w:r w:rsidRPr="00EB766E">
        <w:rPr>
          <w:rFonts w:cs="Arial"/>
          <w:lang w:val="es-ES"/>
        </w:rPr>
        <w:t>En España se ha transpuesto por medio del RD 219/2013 de 22 de Marzo de 2013, que es idéntico al texto Europeo.</w:t>
      </w:r>
    </w:p>
    <w:p w:rsidR="001D0228" w:rsidRPr="001D0228" w:rsidRDefault="001D0228" w:rsidP="00411495">
      <w:pPr>
        <w:pStyle w:val="Prrafodelista"/>
        <w:numPr>
          <w:ilvl w:val="0"/>
          <w:numId w:val="28"/>
        </w:numPr>
        <w:jc w:val="both"/>
        <w:rPr>
          <w:rFonts w:cs="Arial"/>
          <w:lang w:val="es-ES"/>
        </w:rPr>
      </w:pPr>
      <w:r w:rsidRPr="001D0228">
        <w:rPr>
          <w:rFonts w:cs="Arial"/>
          <w:lang w:val="es-ES"/>
        </w:rPr>
        <w:t>Documento publicado en Junio de 2011 con entrada en vigor desde Julio de 2011, y fecha límite de transposición para el 02/01/2013.</w:t>
      </w:r>
    </w:p>
    <w:p w:rsidR="001D0228" w:rsidRPr="001D0228" w:rsidRDefault="001D0228" w:rsidP="00411495">
      <w:pPr>
        <w:pStyle w:val="Prrafodelista"/>
        <w:numPr>
          <w:ilvl w:val="0"/>
          <w:numId w:val="28"/>
        </w:numPr>
        <w:jc w:val="both"/>
        <w:rPr>
          <w:rFonts w:cs="Arial"/>
          <w:lang w:val="es-ES"/>
        </w:rPr>
      </w:pPr>
      <w:r w:rsidRPr="001D0228">
        <w:rPr>
          <w:rFonts w:cs="Arial"/>
          <w:lang w:val="es-ES"/>
        </w:rPr>
        <w:t>En España se ha transpuesto por medio del RD 219/2013 de 22 de Marzo de 2013, que es idéntico al texto Europeo.</w:t>
      </w:r>
    </w:p>
    <w:p w:rsidR="00592720" w:rsidRPr="001D0228" w:rsidRDefault="00592720" w:rsidP="00411495">
      <w:pPr>
        <w:pStyle w:val="Prrafodelista"/>
        <w:numPr>
          <w:ilvl w:val="0"/>
          <w:numId w:val="28"/>
        </w:numPr>
        <w:jc w:val="both"/>
        <w:rPr>
          <w:rFonts w:cs="Arial"/>
          <w:b/>
          <w:lang w:val="es-ES"/>
        </w:rPr>
      </w:pPr>
      <w:r w:rsidRPr="001D0228">
        <w:rPr>
          <w:rFonts w:cs="Arial"/>
          <w:b/>
          <w:lang w:val="es-ES"/>
        </w:rPr>
        <w:t xml:space="preserve">Los equipos de alta tensión están fuera del campo de aplicación de </w:t>
      </w:r>
      <w:r w:rsidR="00C538E9" w:rsidRPr="001D0228">
        <w:rPr>
          <w:rFonts w:cs="Arial"/>
          <w:b/>
          <w:lang w:val="es-ES"/>
        </w:rPr>
        <w:t>esta directiva RoHS:</w:t>
      </w:r>
    </w:p>
    <w:p w:rsidR="00C538E9" w:rsidRPr="00CF07DC" w:rsidRDefault="00C538E9" w:rsidP="00411495">
      <w:pPr>
        <w:pStyle w:val="Prrafodelista"/>
        <w:numPr>
          <w:ilvl w:val="0"/>
          <w:numId w:val="15"/>
        </w:numPr>
        <w:ind w:left="1069"/>
        <w:jc w:val="both"/>
        <w:rPr>
          <w:rFonts w:cs="Arial"/>
          <w:lang w:val="es-ES"/>
        </w:rPr>
      </w:pPr>
      <w:r w:rsidRPr="00CF07DC">
        <w:rPr>
          <w:rFonts w:cs="Arial"/>
          <w:lang w:val="es-ES"/>
        </w:rPr>
        <w:t>Por definición de apara</w:t>
      </w:r>
      <w:r>
        <w:rPr>
          <w:rFonts w:cs="Arial"/>
          <w:lang w:val="es-ES"/>
        </w:rPr>
        <w:t>to eléctrico electrónico (AEE): lí</w:t>
      </w:r>
      <w:r w:rsidRPr="00CF07DC">
        <w:rPr>
          <w:rFonts w:cs="Arial"/>
          <w:lang w:val="es-ES"/>
        </w:rPr>
        <w:t>mites de uso hasta 1000</w:t>
      </w:r>
      <w:r>
        <w:rPr>
          <w:rFonts w:cs="Arial"/>
          <w:lang w:val="es-ES"/>
        </w:rPr>
        <w:t xml:space="preserve"> </w:t>
      </w:r>
      <w:r w:rsidRPr="00CF07DC">
        <w:rPr>
          <w:rFonts w:cs="Arial"/>
          <w:lang w:val="es-ES"/>
        </w:rPr>
        <w:t>V</w:t>
      </w:r>
      <w:r>
        <w:rPr>
          <w:rFonts w:cs="Arial"/>
          <w:lang w:val="es-ES"/>
        </w:rPr>
        <w:t xml:space="preserve"> en corriente alterna y 1500 V en corriente continua.</w:t>
      </w:r>
    </w:p>
    <w:p w:rsidR="00C538E9" w:rsidRPr="00CF07DC" w:rsidRDefault="007A3B40" w:rsidP="00411495">
      <w:pPr>
        <w:pStyle w:val="Prrafodelista"/>
        <w:numPr>
          <w:ilvl w:val="0"/>
          <w:numId w:val="15"/>
        </w:numPr>
        <w:ind w:left="1069"/>
        <w:jc w:val="both"/>
        <w:rPr>
          <w:rFonts w:cs="Arial"/>
          <w:lang w:val="es-ES"/>
        </w:rPr>
      </w:pPr>
      <w:r>
        <w:rPr>
          <w:rFonts w:cs="Arial"/>
          <w:lang w:val="es-ES"/>
        </w:rPr>
        <w:t>Según</w:t>
      </w:r>
      <w:r w:rsidRPr="0089623A">
        <w:rPr>
          <w:rFonts w:cs="Arial"/>
          <w:color w:val="FF0000"/>
          <w:lang w:val="es-ES"/>
        </w:rPr>
        <w:t xml:space="preserve"> articulo 2 punto 2c de la directiva</w:t>
      </w:r>
      <w:r>
        <w:rPr>
          <w:rFonts w:cs="Arial"/>
          <w:lang w:val="es-ES"/>
        </w:rPr>
        <w:t>, p</w:t>
      </w:r>
      <w:r w:rsidR="00C538E9">
        <w:rPr>
          <w:rFonts w:cs="Arial"/>
          <w:lang w:val="es-ES"/>
        </w:rPr>
        <w:t xml:space="preserve">or no </w:t>
      </w:r>
      <w:r w:rsidR="00C538E9" w:rsidRPr="00CF07DC">
        <w:rPr>
          <w:rFonts w:cs="Arial"/>
          <w:lang w:val="es-ES"/>
        </w:rPr>
        <w:t>aplica</w:t>
      </w:r>
      <w:r w:rsidR="00C538E9">
        <w:rPr>
          <w:rFonts w:cs="Arial"/>
          <w:lang w:val="es-ES"/>
        </w:rPr>
        <w:t>r</w:t>
      </w:r>
      <w:r w:rsidR="00C538E9" w:rsidRPr="00CF07DC">
        <w:rPr>
          <w:rFonts w:cs="Arial"/>
          <w:lang w:val="es-ES"/>
        </w:rPr>
        <w:t xml:space="preserve"> a:</w:t>
      </w:r>
      <w:r w:rsidRPr="007A3B40">
        <w:rPr>
          <w:rFonts w:cs="Arial"/>
          <w:lang w:val="es-ES"/>
        </w:rPr>
        <w:t xml:space="preserve"> </w:t>
      </w:r>
    </w:p>
    <w:p w:rsidR="00C538E9" w:rsidRPr="00C538E9" w:rsidRDefault="00C538E9" w:rsidP="001D0228">
      <w:pPr>
        <w:pStyle w:val="CM4"/>
        <w:spacing w:before="60" w:after="60"/>
        <w:ind w:left="1019"/>
        <w:rPr>
          <w:rFonts w:ascii="Arial" w:hAnsi="Arial" w:cs="Arial"/>
          <w:color w:val="000000"/>
          <w:sz w:val="20"/>
          <w:szCs w:val="20"/>
        </w:rPr>
      </w:pPr>
      <w:r w:rsidRPr="00C538E9">
        <w:rPr>
          <w:rFonts w:ascii="Arial" w:hAnsi="Arial" w:cs="Arial"/>
          <w:color w:val="000000"/>
          <w:sz w:val="20"/>
          <w:szCs w:val="20"/>
        </w:rPr>
        <w:t xml:space="preserve">c) los aparatos específicamente diseñados y que deban instalarse como parte de otro tipo de aparatos que no estén incluidos o no pertenezcan al ámbito de aplicación de la presente Directiva, que puedan cumplir su función solo si forman parte de dichos aparatos </w:t>
      </w:r>
      <w:r w:rsidRPr="00C538E9">
        <w:rPr>
          <w:rFonts w:ascii="Arial" w:hAnsi="Arial" w:cs="Arial"/>
          <w:color w:val="FF0000"/>
          <w:sz w:val="20"/>
          <w:szCs w:val="20"/>
        </w:rPr>
        <w:t>Y QUE SOLO PUEDAN SER SUSTITUIDOS POR LOS MISMOS APARATOS ESPECÍFICAMENTE DISEÑADOS</w:t>
      </w:r>
      <w:r w:rsidRPr="00C538E9">
        <w:rPr>
          <w:rFonts w:ascii="Arial" w:hAnsi="Arial" w:cs="Arial"/>
          <w:color w:val="000000"/>
          <w:sz w:val="20"/>
          <w:szCs w:val="20"/>
        </w:rPr>
        <w:t xml:space="preserve">; </w:t>
      </w:r>
    </w:p>
    <w:p w:rsidR="00751EE0" w:rsidRDefault="00751EE0" w:rsidP="00592720">
      <w:pPr>
        <w:jc w:val="both"/>
        <w:rPr>
          <w:rFonts w:cs="Arial"/>
          <w:lang w:val="es-ES"/>
        </w:rPr>
      </w:pPr>
    </w:p>
    <w:p w:rsidR="00592720" w:rsidRPr="00D465DB" w:rsidRDefault="00D45F84" w:rsidP="0085269C">
      <w:pPr>
        <w:pStyle w:val="Ttulo3"/>
        <w:rPr>
          <w:lang w:val="es-ES"/>
        </w:rPr>
      </w:pPr>
      <w:r>
        <w:rPr>
          <w:lang w:val="es-ES"/>
        </w:rPr>
        <w:t xml:space="preserve">Novedades </w:t>
      </w:r>
      <w:r w:rsidR="007A3B40">
        <w:rPr>
          <w:lang w:val="es-ES"/>
        </w:rPr>
        <w:t>Noviembre’2013</w:t>
      </w:r>
    </w:p>
    <w:p w:rsidR="00800454" w:rsidRPr="00800454" w:rsidRDefault="00800454" w:rsidP="00614F18">
      <w:pPr>
        <w:pStyle w:val="Prrafodelista"/>
        <w:numPr>
          <w:ilvl w:val="0"/>
          <w:numId w:val="3"/>
        </w:numPr>
        <w:jc w:val="both"/>
        <w:rPr>
          <w:rFonts w:cs="Arial"/>
          <w:lang w:val="es-ES"/>
        </w:rPr>
      </w:pPr>
      <w:r w:rsidRPr="00800454">
        <w:rPr>
          <w:rFonts w:cs="Arial"/>
          <w:lang w:val="es-ES"/>
        </w:rPr>
        <w:t>Desde noviembre de 2012, la CE tiene en marcha un estudio para la “Review of the List of Restricted Substances under RoHS 2”</w:t>
      </w:r>
    </w:p>
    <w:p w:rsidR="007A3B40" w:rsidRDefault="007A3B40" w:rsidP="00614F18">
      <w:pPr>
        <w:pStyle w:val="Prrafodelista"/>
        <w:numPr>
          <w:ilvl w:val="0"/>
          <w:numId w:val="3"/>
        </w:numPr>
        <w:jc w:val="both"/>
        <w:rPr>
          <w:rFonts w:cs="Arial"/>
          <w:lang w:val="es-ES"/>
        </w:rPr>
      </w:pPr>
      <w:r w:rsidRPr="009D5499">
        <w:rPr>
          <w:rFonts w:cs="Arial"/>
          <w:lang w:val="es-ES"/>
        </w:rPr>
        <w:t>En curso, elaboración por parte d</w:t>
      </w:r>
      <w:r>
        <w:rPr>
          <w:rFonts w:cs="Arial"/>
          <w:lang w:val="es-ES"/>
        </w:rPr>
        <w:t>e la comisión de las Rohs´s FAQ</w:t>
      </w:r>
    </w:p>
    <w:p w:rsidR="007A3B40" w:rsidRPr="00C03AE6" w:rsidRDefault="007A3B40" w:rsidP="00614F18">
      <w:pPr>
        <w:pStyle w:val="Prrafodelista"/>
        <w:numPr>
          <w:ilvl w:val="1"/>
          <w:numId w:val="3"/>
        </w:numPr>
        <w:jc w:val="both"/>
        <w:rPr>
          <w:rFonts w:cs="Arial"/>
          <w:lang w:val="es-ES"/>
        </w:rPr>
      </w:pPr>
      <w:r>
        <w:rPr>
          <w:rFonts w:cs="Arial"/>
          <w:lang w:val="es-ES"/>
        </w:rPr>
        <w:t>Está previsto que el d</w:t>
      </w:r>
      <w:r w:rsidRPr="00C03AE6">
        <w:rPr>
          <w:rFonts w:cs="Arial"/>
          <w:lang w:val="es-ES"/>
        </w:rPr>
        <w:t>ocumento final</w:t>
      </w:r>
      <w:r>
        <w:rPr>
          <w:rFonts w:cs="Arial"/>
          <w:lang w:val="es-ES"/>
        </w:rPr>
        <w:t xml:space="preserve"> se publique antes de </w:t>
      </w:r>
      <w:r w:rsidRPr="00C03AE6">
        <w:rPr>
          <w:rFonts w:cs="Arial"/>
          <w:lang w:val="es-ES"/>
        </w:rPr>
        <w:t>enero 2013</w:t>
      </w:r>
    </w:p>
    <w:p w:rsidR="007A3B40" w:rsidRPr="009D5499" w:rsidRDefault="007A3B40" w:rsidP="00614F18">
      <w:pPr>
        <w:pStyle w:val="Prrafodelista"/>
        <w:numPr>
          <w:ilvl w:val="1"/>
          <w:numId w:val="3"/>
        </w:numPr>
        <w:jc w:val="both"/>
        <w:rPr>
          <w:rFonts w:cs="Arial"/>
          <w:lang w:val="es-ES"/>
        </w:rPr>
      </w:pPr>
      <w:r w:rsidRPr="009D5499">
        <w:rPr>
          <w:rFonts w:cs="Arial"/>
          <w:lang w:val="es-ES"/>
        </w:rPr>
        <w:t>Muchas de las FAQ, relacionadas con la alineación de la directiv</w:t>
      </w:r>
      <w:r>
        <w:rPr>
          <w:rFonts w:cs="Arial"/>
          <w:lang w:val="es-ES"/>
        </w:rPr>
        <w:t>a</w:t>
      </w:r>
      <w:r w:rsidRPr="009D5499">
        <w:rPr>
          <w:rFonts w:cs="Arial"/>
          <w:lang w:val="es-ES"/>
        </w:rPr>
        <w:t xml:space="preserve"> a NLF, serían resueltas haciendo re</w:t>
      </w:r>
      <w:r w:rsidRPr="009D5499">
        <w:rPr>
          <w:rFonts w:cs="Arial"/>
          <w:lang w:val="es-ES"/>
        </w:rPr>
        <w:lastRenderedPageBreak/>
        <w:t>ferencia a “nueva revisión” de la Blue Guide (sin fecha)</w:t>
      </w:r>
      <w:r>
        <w:rPr>
          <w:rFonts w:cs="Arial"/>
          <w:lang w:val="es-ES"/>
        </w:rPr>
        <w:t xml:space="preserve"> </w:t>
      </w:r>
      <w:r w:rsidRPr="009D5499">
        <w:rPr>
          <w:rFonts w:cs="Arial"/>
          <w:lang w:val="es-ES"/>
        </w:rPr>
        <w:t xml:space="preserve">previniendo divergencias en la interpretación de los requerimientos NFL. Sin embargo, la obligación de los estados miembros de transponer esta directiva para Enero 2013, no permite esperar </w:t>
      </w:r>
      <w:r>
        <w:rPr>
          <w:rFonts w:cs="Arial"/>
          <w:lang w:val="es-ES"/>
        </w:rPr>
        <w:t xml:space="preserve">a la </w:t>
      </w:r>
      <w:r w:rsidRPr="009D5499">
        <w:rPr>
          <w:rFonts w:cs="Arial"/>
          <w:lang w:val="es-ES"/>
        </w:rPr>
        <w:t>revisión de la Blue Guide</w:t>
      </w:r>
      <w:r>
        <w:rPr>
          <w:rFonts w:cs="Arial"/>
          <w:lang w:val="es-ES"/>
        </w:rPr>
        <w:t>.</w:t>
      </w:r>
    </w:p>
    <w:p w:rsidR="007A3B40" w:rsidRDefault="007A3B40" w:rsidP="00614F18">
      <w:pPr>
        <w:pStyle w:val="Prrafodelista"/>
        <w:numPr>
          <w:ilvl w:val="0"/>
          <w:numId w:val="3"/>
        </w:numPr>
        <w:jc w:val="both"/>
        <w:rPr>
          <w:rFonts w:cs="Arial"/>
          <w:color w:val="FF0000"/>
          <w:lang w:val="es-ES"/>
        </w:rPr>
      </w:pPr>
      <w:r w:rsidRPr="00C03AE6">
        <w:rPr>
          <w:rFonts w:cs="Arial"/>
          <w:color w:val="FF0000"/>
          <w:lang w:val="es-ES"/>
        </w:rPr>
        <w:t>Orgalime ha elaborado guía de aplicación de la ROHS2 (SE</w:t>
      </w:r>
      <w:r>
        <w:rPr>
          <w:rFonts w:cs="Arial"/>
          <w:color w:val="FF0000"/>
          <w:lang w:val="es-ES"/>
        </w:rPr>
        <w:t>P</w:t>
      </w:r>
      <w:r w:rsidRPr="00C03AE6">
        <w:rPr>
          <w:rFonts w:cs="Arial"/>
          <w:color w:val="FF0000"/>
          <w:lang w:val="es-ES"/>
        </w:rPr>
        <w:t>T</w:t>
      </w:r>
      <w:r>
        <w:rPr>
          <w:rFonts w:cs="Arial"/>
          <w:color w:val="FF0000"/>
          <w:lang w:val="es-ES"/>
        </w:rPr>
        <w:t>IEMBRE</w:t>
      </w:r>
      <w:r w:rsidRPr="00C03AE6">
        <w:rPr>
          <w:rFonts w:cs="Arial"/>
          <w:color w:val="FF0000"/>
          <w:lang w:val="es-ES"/>
        </w:rPr>
        <w:t xml:space="preserve"> 12)</w:t>
      </w:r>
    </w:p>
    <w:p w:rsidR="007A3B40" w:rsidRPr="00C03AE6" w:rsidRDefault="007A3B40" w:rsidP="00614F18">
      <w:pPr>
        <w:pStyle w:val="Prrafodelista"/>
        <w:numPr>
          <w:ilvl w:val="1"/>
          <w:numId w:val="3"/>
        </w:numPr>
        <w:jc w:val="both"/>
        <w:rPr>
          <w:rFonts w:cs="Arial"/>
          <w:color w:val="FF0000"/>
          <w:lang w:val="es-ES"/>
        </w:rPr>
      </w:pPr>
      <w:r>
        <w:rPr>
          <w:rFonts w:cs="Arial"/>
          <w:color w:val="FF0000"/>
          <w:lang w:val="es-ES"/>
        </w:rPr>
        <w:t>PM REVISA LA GUÍA</w:t>
      </w:r>
    </w:p>
    <w:p w:rsidR="00964588" w:rsidRPr="008B6341" w:rsidRDefault="00964588" w:rsidP="008B6341">
      <w:pPr>
        <w:jc w:val="both"/>
        <w:rPr>
          <w:rFonts w:cs="Arial"/>
          <w:lang w:val="es-ES"/>
        </w:rPr>
      </w:pPr>
    </w:p>
    <w:p w:rsidR="008E58B3" w:rsidRPr="00D465DB" w:rsidRDefault="008E58B3" w:rsidP="008E58B3">
      <w:pPr>
        <w:pStyle w:val="Ttulo3"/>
        <w:rPr>
          <w:lang w:val="es-ES"/>
        </w:rPr>
      </w:pPr>
      <w:r>
        <w:rPr>
          <w:lang w:val="es-ES"/>
        </w:rPr>
        <w:t>Novedades Mayo’2014</w:t>
      </w:r>
    </w:p>
    <w:p w:rsidR="001D0228" w:rsidRPr="001D0228" w:rsidRDefault="001D0228" w:rsidP="001D0228">
      <w:pPr>
        <w:pStyle w:val="Prrafodelista"/>
        <w:numPr>
          <w:ilvl w:val="0"/>
          <w:numId w:val="3"/>
        </w:numPr>
        <w:jc w:val="both"/>
        <w:rPr>
          <w:rFonts w:cs="Arial"/>
          <w:lang w:val="es-ES"/>
        </w:rPr>
      </w:pPr>
      <w:r w:rsidRPr="001D0228">
        <w:rPr>
          <w:rFonts w:cs="Arial"/>
          <w:lang w:val="es-ES"/>
        </w:rPr>
        <w:t>El consultant ha publicado el resultado final de su trabajo de “Review of the List of Restricted Substances under RoHS2 Directive”. http://www.umweltbundesamt.at/rohs2.  correspondiente a  4 nuevas sustancias, para las que recomienda su inclusión en el anexo II de la directiva:</w:t>
      </w:r>
    </w:p>
    <w:p w:rsidR="001D0228" w:rsidRPr="001D0228" w:rsidRDefault="001D0228" w:rsidP="001D0228">
      <w:pPr>
        <w:pStyle w:val="Prrafodelista"/>
        <w:numPr>
          <w:ilvl w:val="1"/>
          <w:numId w:val="3"/>
        </w:numPr>
        <w:jc w:val="both"/>
        <w:rPr>
          <w:rFonts w:cs="Arial"/>
          <w:lang w:val="es-ES"/>
        </w:rPr>
      </w:pPr>
      <w:r w:rsidRPr="001D0228">
        <w:rPr>
          <w:rFonts w:cs="Arial"/>
          <w:lang w:val="es-ES"/>
        </w:rPr>
        <w:t xml:space="preserve">Hexabromocyclododecane (HBCDD) </w:t>
      </w:r>
    </w:p>
    <w:p w:rsidR="001D0228" w:rsidRPr="001D0228" w:rsidRDefault="001D0228" w:rsidP="001D0228">
      <w:pPr>
        <w:pStyle w:val="Prrafodelista"/>
        <w:numPr>
          <w:ilvl w:val="1"/>
          <w:numId w:val="3"/>
        </w:numPr>
        <w:jc w:val="both"/>
        <w:rPr>
          <w:rFonts w:cs="Arial"/>
          <w:lang w:val="es-ES"/>
        </w:rPr>
      </w:pPr>
      <w:r w:rsidRPr="001D0228">
        <w:rPr>
          <w:rFonts w:cs="Arial"/>
          <w:lang w:val="es-ES"/>
        </w:rPr>
        <w:t xml:space="preserve">Bis (2- ethylhexyl) phthalate (DEHP) </w:t>
      </w:r>
    </w:p>
    <w:p w:rsidR="001D0228" w:rsidRPr="001D0228" w:rsidRDefault="001D0228" w:rsidP="001D0228">
      <w:pPr>
        <w:pStyle w:val="Prrafodelista"/>
        <w:numPr>
          <w:ilvl w:val="1"/>
          <w:numId w:val="3"/>
        </w:numPr>
        <w:jc w:val="both"/>
        <w:rPr>
          <w:rFonts w:cs="Arial"/>
          <w:lang w:val="es-ES"/>
        </w:rPr>
      </w:pPr>
      <w:r w:rsidRPr="001D0228">
        <w:rPr>
          <w:rFonts w:cs="Arial"/>
          <w:lang w:val="es-ES"/>
        </w:rPr>
        <w:t xml:space="preserve">Butyl benzyl phthalate (BBP) </w:t>
      </w:r>
    </w:p>
    <w:p w:rsidR="001D0228" w:rsidRPr="001D0228" w:rsidRDefault="001D0228" w:rsidP="001D0228">
      <w:pPr>
        <w:pStyle w:val="Prrafodelista"/>
        <w:numPr>
          <w:ilvl w:val="1"/>
          <w:numId w:val="3"/>
        </w:numPr>
        <w:jc w:val="both"/>
        <w:rPr>
          <w:rFonts w:cs="Arial"/>
          <w:lang w:val="es-ES"/>
        </w:rPr>
      </w:pPr>
      <w:r w:rsidRPr="001D0228">
        <w:rPr>
          <w:rFonts w:cs="Arial"/>
          <w:lang w:val="es-ES"/>
        </w:rPr>
        <w:t>Dibutyl phthalate (DBP).</w:t>
      </w:r>
    </w:p>
    <w:p w:rsidR="001D0228" w:rsidRPr="001D0228" w:rsidRDefault="001D0228" w:rsidP="001D0228">
      <w:pPr>
        <w:pStyle w:val="Prrafodelista"/>
        <w:numPr>
          <w:ilvl w:val="0"/>
          <w:numId w:val="3"/>
        </w:numPr>
        <w:jc w:val="both"/>
        <w:rPr>
          <w:rFonts w:cs="Arial"/>
          <w:lang w:val="es-ES"/>
        </w:rPr>
      </w:pPr>
      <w:r w:rsidRPr="001D0228">
        <w:rPr>
          <w:rFonts w:cs="Arial"/>
          <w:lang w:val="es-ES"/>
        </w:rPr>
        <w:t xml:space="preserve">Hay otras 52 sustancias identificadas pendientes de ser evaluadas.. </w:t>
      </w:r>
    </w:p>
    <w:p w:rsidR="008E58B3" w:rsidRDefault="00A20A09" w:rsidP="008E58B3">
      <w:pPr>
        <w:pStyle w:val="Prrafodelista"/>
        <w:numPr>
          <w:ilvl w:val="0"/>
          <w:numId w:val="3"/>
        </w:numPr>
        <w:jc w:val="both"/>
        <w:rPr>
          <w:rFonts w:cs="Arial"/>
          <w:lang w:val="es-ES"/>
        </w:rPr>
      </w:pPr>
      <w:r>
        <w:rPr>
          <w:rFonts w:cs="Arial"/>
          <w:lang w:val="es-ES"/>
        </w:rPr>
        <w:t>La DG medioambiente ha lanzado recientemente un nuevo grupo de trabajo con el objetivo de “agilizar y simplificar” la revisión de nuevas substancias en el futuro</w:t>
      </w:r>
    </w:p>
    <w:p w:rsidR="005B6AFE" w:rsidRDefault="005B6AFE" w:rsidP="008E58B3">
      <w:pPr>
        <w:pStyle w:val="Prrafodelista"/>
        <w:numPr>
          <w:ilvl w:val="0"/>
          <w:numId w:val="3"/>
        </w:numPr>
        <w:jc w:val="both"/>
        <w:rPr>
          <w:rFonts w:cs="Arial"/>
          <w:lang w:val="es-ES"/>
        </w:rPr>
      </w:pPr>
      <w:r>
        <w:rPr>
          <w:rFonts w:cs="Arial"/>
          <w:lang w:val="es-ES"/>
        </w:rPr>
        <w:t>Además, el conocido instituto Öko ha finalizado dos consultas públicas sobre:</w:t>
      </w:r>
    </w:p>
    <w:p w:rsidR="005B6AFE" w:rsidRPr="005B6AFE" w:rsidRDefault="005B6AFE" w:rsidP="005B6AFE">
      <w:pPr>
        <w:pStyle w:val="Prrafodelista"/>
        <w:numPr>
          <w:ilvl w:val="1"/>
          <w:numId w:val="3"/>
        </w:numPr>
        <w:jc w:val="both"/>
        <w:rPr>
          <w:rFonts w:cs="Arial"/>
          <w:lang w:val="es-ES"/>
        </w:rPr>
      </w:pPr>
      <w:r w:rsidRPr="005B6AFE">
        <w:rPr>
          <w:rFonts w:cs="Arial"/>
          <w:lang w:val="es-ES"/>
        </w:rPr>
        <w:t>Electric bicycles – irrelevante para nuestro sector</w:t>
      </w:r>
    </w:p>
    <w:p w:rsidR="005B6AFE" w:rsidRPr="005B6AFE" w:rsidRDefault="005B6AFE" w:rsidP="005B6AFE">
      <w:pPr>
        <w:pStyle w:val="Prrafodelista"/>
        <w:numPr>
          <w:ilvl w:val="1"/>
          <w:numId w:val="3"/>
        </w:numPr>
        <w:jc w:val="both"/>
        <w:rPr>
          <w:rFonts w:cs="Arial"/>
          <w:lang w:val="es-ES"/>
        </w:rPr>
      </w:pPr>
      <w:r w:rsidRPr="005B6AFE">
        <w:rPr>
          <w:rFonts w:cs="Arial"/>
          <w:lang w:val="es-ES"/>
        </w:rPr>
        <w:t xml:space="preserve">EEE newly in scope – relacionado con las enmiendas a los artículos 2(2), 4(3) </w:t>
      </w:r>
      <w:r>
        <w:rPr>
          <w:rFonts w:cs="Arial"/>
          <w:lang w:val="es-ES"/>
        </w:rPr>
        <w:t>y</w:t>
      </w:r>
      <w:r w:rsidRPr="005B6AFE">
        <w:rPr>
          <w:rFonts w:cs="Arial"/>
          <w:lang w:val="es-ES"/>
        </w:rPr>
        <w:t xml:space="preserve"> 4(4).</w:t>
      </w:r>
    </w:p>
    <w:p w:rsidR="008E39AC" w:rsidRPr="00D465DB" w:rsidRDefault="00C02081" w:rsidP="00D465DB">
      <w:pPr>
        <w:pStyle w:val="Ttulo1"/>
        <w:tabs>
          <w:tab w:val="clear" w:pos="360"/>
          <w:tab w:val="num" w:pos="432"/>
        </w:tabs>
        <w:spacing w:after="360" w:line="240" w:lineRule="atLeast"/>
        <w:ind w:left="432" w:hanging="432"/>
        <w:jc w:val="both"/>
        <w:rPr>
          <w:lang w:val="es-ES"/>
        </w:rPr>
      </w:pPr>
      <w:bookmarkStart w:id="14" w:name="_Toc404614852"/>
      <w:r>
        <w:rPr>
          <w:lang w:val="es-ES"/>
        </w:rPr>
        <w:lastRenderedPageBreak/>
        <w:t>ANÁLISIS</w:t>
      </w:r>
      <w:r w:rsidR="00BC5B35" w:rsidRPr="00D465DB">
        <w:rPr>
          <w:lang w:val="es-ES"/>
        </w:rPr>
        <w:t xml:space="preserve"> DE OTRAS DIRECTIVAS NO INCLUIDAS EN EL </w:t>
      </w:r>
      <w:r w:rsidR="00BC5B35" w:rsidRPr="00BC5B35">
        <w:rPr>
          <w:i/>
          <w:lang w:val="es-ES"/>
        </w:rPr>
        <w:t>“POSITION PAPER”</w:t>
      </w:r>
      <w:bookmarkEnd w:id="14"/>
    </w:p>
    <w:p w:rsidR="008E39AC" w:rsidRPr="00D465DB" w:rsidRDefault="0094485C" w:rsidP="00D465DB">
      <w:pPr>
        <w:pStyle w:val="Ttulo2"/>
        <w:tabs>
          <w:tab w:val="clear" w:pos="0"/>
          <w:tab w:val="num" w:pos="851"/>
        </w:tabs>
        <w:ind w:left="851" w:hanging="851"/>
        <w:jc w:val="both"/>
        <w:rPr>
          <w:b w:val="0"/>
          <w:i w:val="0"/>
          <w:lang w:val="es-ES"/>
        </w:rPr>
      </w:pPr>
      <w:bookmarkStart w:id="15" w:name="_Toc292702259"/>
      <w:bookmarkStart w:id="16" w:name="_Toc404614853"/>
      <w:r>
        <w:rPr>
          <w:b w:val="0"/>
          <w:i w:val="0"/>
          <w:lang w:val="es-ES"/>
        </w:rPr>
        <w:t xml:space="preserve">EMFW - </w:t>
      </w:r>
      <w:r w:rsidR="001C0C8A" w:rsidRPr="00D465DB">
        <w:rPr>
          <w:b w:val="0"/>
          <w:i w:val="0"/>
          <w:lang w:val="es-ES"/>
        </w:rPr>
        <w:t xml:space="preserve">Directiva de </w:t>
      </w:r>
      <w:r w:rsidR="001C6E81" w:rsidRPr="00D465DB">
        <w:rPr>
          <w:b w:val="0"/>
          <w:i w:val="0"/>
          <w:lang w:val="es-ES"/>
        </w:rPr>
        <w:t>Campos electromagnéticos</w:t>
      </w:r>
      <w:bookmarkEnd w:id="15"/>
      <w:r w:rsidR="001C0C8A" w:rsidRPr="00D465DB">
        <w:rPr>
          <w:b w:val="0"/>
          <w:i w:val="0"/>
          <w:lang w:val="es-ES"/>
        </w:rPr>
        <w:t xml:space="preserve"> para los trabajadores</w:t>
      </w:r>
      <w:r w:rsidR="00A24FF5">
        <w:rPr>
          <w:b w:val="0"/>
          <w:i w:val="0"/>
          <w:lang w:val="es-ES"/>
        </w:rPr>
        <w:t xml:space="preserve"> (2013/35/EU)</w:t>
      </w:r>
      <w:bookmarkEnd w:id="16"/>
    </w:p>
    <w:p w:rsidR="00805699" w:rsidRDefault="00805699" w:rsidP="00614F18">
      <w:pPr>
        <w:pStyle w:val="Prrafodelista"/>
        <w:numPr>
          <w:ilvl w:val="0"/>
          <w:numId w:val="4"/>
        </w:numPr>
        <w:jc w:val="both"/>
        <w:rPr>
          <w:lang w:val="es-ES"/>
        </w:rPr>
      </w:pPr>
      <w:r>
        <w:rPr>
          <w:lang w:val="es-ES"/>
        </w:rPr>
        <w:t>Los antecedentes son conocidos:</w:t>
      </w:r>
    </w:p>
    <w:p w:rsidR="00A849B6" w:rsidRDefault="00A849B6" w:rsidP="00614F18">
      <w:pPr>
        <w:pStyle w:val="Prrafodelista"/>
        <w:numPr>
          <w:ilvl w:val="1"/>
          <w:numId w:val="4"/>
        </w:numPr>
        <w:jc w:val="both"/>
        <w:rPr>
          <w:lang w:val="es-ES"/>
        </w:rPr>
      </w:pPr>
      <w:r>
        <w:rPr>
          <w:lang w:val="es-ES"/>
        </w:rPr>
        <w:t xml:space="preserve">La aplicación de la directiva </w:t>
      </w:r>
      <w:r w:rsidRPr="00805699">
        <w:rPr>
          <w:lang w:val="es-ES"/>
        </w:rPr>
        <w:t>2004/40/CE</w:t>
      </w:r>
      <w:r>
        <w:rPr>
          <w:lang w:val="es-ES"/>
        </w:rPr>
        <w:t xml:space="preserve"> había generado cierto rechazo en determinadas aplicaciones médicas e industriales</w:t>
      </w:r>
    </w:p>
    <w:p w:rsidR="00A849B6" w:rsidRDefault="00A849B6" w:rsidP="00614F18">
      <w:pPr>
        <w:pStyle w:val="Prrafodelista"/>
        <w:numPr>
          <w:ilvl w:val="2"/>
          <w:numId w:val="4"/>
        </w:numPr>
        <w:jc w:val="both"/>
        <w:rPr>
          <w:lang w:val="es-ES"/>
        </w:rPr>
      </w:pPr>
      <w:r>
        <w:rPr>
          <w:lang w:val="es-ES"/>
        </w:rPr>
        <w:t>Además incluía l</w:t>
      </w:r>
      <w:r w:rsidR="00805699">
        <w:rPr>
          <w:lang w:val="es-ES"/>
        </w:rPr>
        <w:t xml:space="preserve">a fecha de transposición </w:t>
      </w:r>
      <w:r>
        <w:rPr>
          <w:lang w:val="es-ES"/>
        </w:rPr>
        <w:t>del 30 de abril de 2012</w:t>
      </w:r>
    </w:p>
    <w:p w:rsidR="00805699" w:rsidRDefault="00A849B6" w:rsidP="00614F18">
      <w:pPr>
        <w:pStyle w:val="Prrafodelista"/>
        <w:numPr>
          <w:ilvl w:val="1"/>
          <w:numId w:val="4"/>
        </w:numPr>
        <w:jc w:val="both"/>
        <w:rPr>
          <w:lang w:val="es-ES"/>
        </w:rPr>
      </w:pPr>
      <w:r>
        <w:rPr>
          <w:lang w:val="es-ES"/>
        </w:rPr>
        <w:t>Por medio de</w:t>
      </w:r>
      <w:r w:rsidR="00805699">
        <w:rPr>
          <w:lang w:val="es-ES"/>
        </w:rPr>
        <w:t xml:space="preserve"> la </w:t>
      </w:r>
      <w:r>
        <w:rPr>
          <w:lang w:val="es-ES"/>
        </w:rPr>
        <w:t xml:space="preserve">nueva </w:t>
      </w:r>
      <w:r w:rsidR="00805699">
        <w:rPr>
          <w:lang w:val="es-ES"/>
        </w:rPr>
        <w:t>d</w:t>
      </w:r>
      <w:r w:rsidR="00805699" w:rsidRPr="00805699">
        <w:rPr>
          <w:lang w:val="es-ES"/>
        </w:rPr>
        <w:t>irectiva 2008/46/CE</w:t>
      </w:r>
      <w:r>
        <w:rPr>
          <w:lang w:val="es-ES"/>
        </w:rPr>
        <w:t xml:space="preserve"> (</w:t>
      </w:r>
      <w:r w:rsidR="009F5FAA">
        <w:rPr>
          <w:lang w:val="es-ES"/>
        </w:rPr>
        <w:t>publicada en abril de 2008</w:t>
      </w:r>
      <w:r>
        <w:rPr>
          <w:lang w:val="es-ES"/>
        </w:rPr>
        <w:t xml:space="preserve">), únicamente se modificó la fecha de transposición, </w:t>
      </w:r>
      <w:r w:rsidR="00805699">
        <w:rPr>
          <w:lang w:val="es-ES"/>
        </w:rPr>
        <w:t xml:space="preserve">hasta </w:t>
      </w:r>
      <w:r w:rsidR="00805699" w:rsidRPr="00805699">
        <w:rPr>
          <w:lang w:val="es-ES"/>
        </w:rPr>
        <w:t>el 30 de abril de 2012</w:t>
      </w:r>
    </w:p>
    <w:p w:rsidR="009F5FAA" w:rsidRDefault="009F5FAA" w:rsidP="00614F18">
      <w:pPr>
        <w:pStyle w:val="Prrafodelista"/>
        <w:numPr>
          <w:ilvl w:val="1"/>
          <w:numId w:val="4"/>
        </w:numPr>
        <w:jc w:val="both"/>
        <w:rPr>
          <w:lang w:val="es-ES"/>
        </w:rPr>
      </w:pPr>
      <w:r>
        <w:rPr>
          <w:lang w:val="es-ES"/>
        </w:rPr>
        <w:t>A medida que se acercaba la fecha de 2012, y al no conseguirse el acuerdo sobre la revisión de la directiva, se publicó una nueva modificación, con referencia 2012/11/UE, en abril de 2012, donde se establecía una nueva fecha:</w:t>
      </w:r>
    </w:p>
    <w:p w:rsidR="009F5FAA" w:rsidRDefault="009F5FAA" w:rsidP="00614F18">
      <w:pPr>
        <w:pStyle w:val="Prrafodelista"/>
        <w:numPr>
          <w:ilvl w:val="2"/>
          <w:numId w:val="4"/>
        </w:numPr>
        <w:jc w:val="both"/>
        <w:rPr>
          <w:lang w:val="es-ES"/>
        </w:rPr>
      </w:pPr>
      <w:r>
        <w:rPr>
          <w:lang w:val="es-ES"/>
        </w:rPr>
        <w:t>31 de octubre de 2013</w:t>
      </w:r>
    </w:p>
    <w:p w:rsidR="007B10C5" w:rsidRDefault="007B10C5" w:rsidP="00614F18">
      <w:pPr>
        <w:pStyle w:val="Prrafodelista"/>
        <w:numPr>
          <w:ilvl w:val="1"/>
          <w:numId w:val="4"/>
        </w:numPr>
        <w:jc w:val="both"/>
        <w:rPr>
          <w:lang w:val="es-ES"/>
        </w:rPr>
      </w:pPr>
      <w:r>
        <w:rPr>
          <w:lang w:val="es-ES"/>
        </w:rPr>
        <w:t>E</w:t>
      </w:r>
      <w:r w:rsidR="00F1227D">
        <w:rPr>
          <w:lang w:val="es-ES"/>
        </w:rPr>
        <w:t>stos</w:t>
      </w:r>
      <w:r>
        <w:rPr>
          <w:lang w:val="es-ES"/>
        </w:rPr>
        <w:t xml:space="preserve"> cambio</w:t>
      </w:r>
      <w:r w:rsidR="00F1227D">
        <w:rPr>
          <w:lang w:val="es-ES"/>
        </w:rPr>
        <w:t>s</w:t>
      </w:r>
      <w:r>
        <w:rPr>
          <w:lang w:val="es-ES"/>
        </w:rPr>
        <w:t xml:space="preserve"> de fecha provoc</w:t>
      </w:r>
      <w:r w:rsidR="00F1227D">
        <w:rPr>
          <w:lang w:val="es-ES"/>
        </w:rPr>
        <w:t>aron</w:t>
      </w:r>
      <w:r>
        <w:rPr>
          <w:lang w:val="es-ES"/>
        </w:rPr>
        <w:t xml:space="preserve"> que la mayoría de los EM no transpusieran la directiva de 2004</w:t>
      </w:r>
    </w:p>
    <w:p w:rsidR="00A849B6" w:rsidRDefault="00A849B6" w:rsidP="00614F18">
      <w:pPr>
        <w:pStyle w:val="Prrafodelista"/>
        <w:numPr>
          <w:ilvl w:val="0"/>
          <w:numId w:val="4"/>
        </w:numPr>
        <w:rPr>
          <w:lang w:val="es-ES"/>
        </w:rPr>
      </w:pPr>
      <w:r>
        <w:rPr>
          <w:lang w:val="es-ES"/>
        </w:rPr>
        <w:t xml:space="preserve">Por fin, la revisión completa de la directiva se publicó en Junio de 2013, con la referencia </w:t>
      </w:r>
      <w:r w:rsidRPr="00A849B6">
        <w:rPr>
          <w:lang w:val="es-ES"/>
        </w:rPr>
        <w:t>2013/35/EU</w:t>
      </w:r>
    </w:p>
    <w:p w:rsidR="00A849B6" w:rsidRPr="00A849B6" w:rsidRDefault="00A849B6" w:rsidP="00614F18">
      <w:pPr>
        <w:pStyle w:val="Prrafodelista"/>
        <w:numPr>
          <w:ilvl w:val="1"/>
          <w:numId w:val="4"/>
        </w:numPr>
        <w:rPr>
          <w:lang w:val="es-ES"/>
        </w:rPr>
      </w:pPr>
      <w:r>
        <w:rPr>
          <w:lang w:val="es-ES"/>
        </w:rPr>
        <w:t>Con entrada en vigor inmediata</w:t>
      </w:r>
    </w:p>
    <w:p w:rsidR="00A849B6" w:rsidRPr="00A849B6" w:rsidRDefault="00A849B6" w:rsidP="00614F18">
      <w:pPr>
        <w:pStyle w:val="Prrafodelista"/>
        <w:numPr>
          <w:ilvl w:val="1"/>
          <w:numId w:val="4"/>
        </w:numPr>
        <w:rPr>
          <w:lang w:val="es-ES"/>
        </w:rPr>
      </w:pPr>
      <w:r w:rsidRPr="00A849B6">
        <w:rPr>
          <w:lang w:val="es-ES"/>
        </w:rPr>
        <w:t>Debe ser transpuesta con anterioridad a Julio de 2016</w:t>
      </w:r>
    </w:p>
    <w:p w:rsidR="00A849B6" w:rsidRDefault="00C55619" w:rsidP="00614F18">
      <w:pPr>
        <w:pStyle w:val="Prrafodelista"/>
        <w:numPr>
          <w:ilvl w:val="1"/>
          <w:numId w:val="4"/>
        </w:numPr>
        <w:jc w:val="both"/>
        <w:rPr>
          <w:lang w:val="es-ES"/>
        </w:rPr>
      </w:pPr>
      <w:r>
        <w:rPr>
          <w:lang w:val="es-ES"/>
        </w:rPr>
        <w:t>Establece los límites de exposición de acuerdo a lo establecido en el ICNIRP</w:t>
      </w:r>
    </w:p>
    <w:p w:rsidR="00C55619" w:rsidRDefault="00C55619" w:rsidP="00614F18">
      <w:pPr>
        <w:pStyle w:val="Prrafodelista"/>
        <w:numPr>
          <w:ilvl w:val="1"/>
          <w:numId w:val="4"/>
        </w:numPr>
        <w:jc w:val="both"/>
        <w:rPr>
          <w:lang w:val="es-ES"/>
        </w:rPr>
      </w:pPr>
      <w:r>
        <w:rPr>
          <w:lang w:val="es-ES"/>
        </w:rPr>
        <w:t>Para el largo plazo, se pide a la CE que monitorice el progreso científico, y de acuerdo a ello, haga nuevas propuestas</w:t>
      </w:r>
    </w:p>
    <w:p w:rsidR="00C55619" w:rsidRPr="00C55619" w:rsidRDefault="00C55619" w:rsidP="00614F18">
      <w:pPr>
        <w:pStyle w:val="Prrafodelista"/>
        <w:numPr>
          <w:ilvl w:val="1"/>
          <w:numId w:val="4"/>
        </w:numPr>
        <w:jc w:val="both"/>
        <w:rPr>
          <w:lang w:val="es-ES"/>
        </w:rPr>
      </w:pPr>
      <w:r>
        <w:rPr>
          <w:lang w:val="es-ES"/>
        </w:rPr>
        <w:t>También se pide a la CE que publique una guía para finales de 2015</w:t>
      </w:r>
    </w:p>
    <w:p w:rsidR="005E00B9" w:rsidRPr="000321CD" w:rsidRDefault="00C55619" w:rsidP="00614F18">
      <w:pPr>
        <w:pStyle w:val="Prrafodelista"/>
        <w:numPr>
          <w:ilvl w:val="0"/>
          <w:numId w:val="4"/>
        </w:numPr>
        <w:jc w:val="both"/>
        <w:rPr>
          <w:lang w:val="es-ES"/>
        </w:rPr>
      </w:pPr>
      <w:r>
        <w:rPr>
          <w:lang w:val="es-ES"/>
        </w:rPr>
        <w:lastRenderedPageBreak/>
        <w:t>En otro orden de cosas, e</w:t>
      </w:r>
      <w:r w:rsidR="005E00B9" w:rsidRPr="000321CD">
        <w:rPr>
          <w:lang w:val="es-ES"/>
        </w:rPr>
        <w:t>xisten varias guías para la medición de los campos:</w:t>
      </w:r>
    </w:p>
    <w:p w:rsidR="005E00B9" w:rsidRPr="000321CD" w:rsidRDefault="005E00B9" w:rsidP="00614F18">
      <w:pPr>
        <w:pStyle w:val="Prrafodelista"/>
        <w:numPr>
          <w:ilvl w:val="1"/>
          <w:numId w:val="4"/>
        </w:numPr>
        <w:jc w:val="both"/>
      </w:pPr>
      <w:r w:rsidRPr="000321CD">
        <w:t>Informe UNE 215.002</w:t>
      </w:r>
    </w:p>
    <w:p w:rsidR="005E00B9" w:rsidRPr="000321CD" w:rsidRDefault="005E00B9" w:rsidP="00614F18">
      <w:pPr>
        <w:pStyle w:val="Prrafodelista"/>
        <w:numPr>
          <w:ilvl w:val="1"/>
          <w:numId w:val="4"/>
        </w:numPr>
        <w:jc w:val="both"/>
      </w:pPr>
      <w:r w:rsidRPr="000321CD">
        <w:t>CENELEC: comité 106x</w:t>
      </w:r>
    </w:p>
    <w:p w:rsidR="005E00B9" w:rsidRPr="000321CD" w:rsidRDefault="005E00B9" w:rsidP="00614F18">
      <w:pPr>
        <w:pStyle w:val="Prrafodelista"/>
        <w:numPr>
          <w:ilvl w:val="1"/>
          <w:numId w:val="4"/>
        </w:numPr>
        <w:jc w:val="both"/>
        <w:rPr>
          <w:lang w:val="en-US"/>
        </w:rPr>
      </w:pPr>
      <w:r w:rsidRPr="000321CD">
        <w:rPr>
          <w:lang w:val="en-US"/>
        </w:rPr>
        <w:t>EN 62110:2009: “measurement with regard to public”</w:t>
      </w:r>
    </w:p>
    <w:p w:rsidR="005E00B9" w:rsidRPr="000321CD" w:rsidRDefault="005E00B9" w:rsidP="00614F18">
      <w:pPr>
        <w:pStyle w:val="Prrafodelista"/>
        <w:numPr>
          <w:ilvl w:val="1"/>
          <w:numId w:val="4"/>
        </w:numPr>
        <w:jc w:val="both"/>
        <w:rPr>
          <w:lang w:val="en-US"/>
        </w:rPr>
      </w:pPr>
      <w:r w:rsidRPr="000321CD">
        <w:rPr>
          <w:lang w:val="en-US"/>
        </w:rPr>
        <w:t>prEN50XXX (CENELEC 21312): “evaluation of workers exposure to EMF”</w:t>
      </w:r>
    </w:p>
    <w:p w:rsidR="005E00B9" w:rsidRPr="000321CD" w:rsidRDefault="005E00B9" w:rsidP="00614F18">
      <w:pPr>
        <w:pStyle w:val="Prrafodelista"/>
        <w:numPr>
          <w:ilvl w:val="1"/>
          <w:numId w:val="4"/>
        </w:numPr>
        <w:jc w:val="both"/>
        <w:rPr>
          <w:lang w:val="es-ES"/>
        </w:rPr>
      </w:pPr>
      <w:r w:rsidRPr="000321CD">
        <w:rPr>
          <w:lang w:val="es-ES"/>
        </w:rPr>
        <w:t>“Guía para la ev</w:t>
      </w:r>
      <w:r w:rsidR="00580D02">
        <w:rPr>
          <w:lang w:val="es-ES"/>
        </w:rPr>
        <w:t>aluación de los campos electroma</w:t>
      </w:r>
      <w:r w:rsidRPr="000321CD">
        <w:rPr>
          <w:lang w:val="es-ES"/>
        </w:rPr>
        <w:t>gnéticos alrededor de los transformadores de potencia”, con la referencia es UNE 207012-001 IN:2004</w:t>
      </w:r>
    </w:p>
    <w:p w:rsidR="005E00B9" w:rsidRPr="000321CD" w:rsidRDefault="005E00B9" w:rsidP="00614F18">
      <w:pPr>
        <w:pStyle w:val="Prrafodelista"/>
        <w:numPr>
          <w:ilvl w:val="2"/>
          <w:numId w:val="4"/>
        </w:numPr>
        <w:jc w:val="both"/>
        <w:rPr>
          <w:lang w:val="es-ES"/>
        </w:rPr>
      </w:pPr>
      <w:r w:rsidRPr="000321CD">
        <w:rPr>
          <w:lang w:val="es-ES"/>
        </w:rPr>
        <w:t>Otra referencia es UNE-CLC/TR 50453 IN:2008</w:t>
      </w:r>
    </w:p>
    <w:p w:rsidR="00E35527" w:rsidRPr="0034356D" w:rsidRDefault="00E35527" w:rsidP="00EA24AB">
      <w:pPr>
        <w:jc w:val="both"/>
        <w:rPr>
          <w:lang w:val="es-ES" w:eastAsia="en-US"/>
        </w:rPr>
      </w:pPr>
    </w:p>
    <w:p w:rsidR="00A24FF5" w:rsidRPr="00AD5F29" w:rsidRDefault="00570ADB" w:rsidP="00A24FF5">
      <w:pPr>
        <w:pStyle w:val="Ttulo3"/>
        <w:rPr>
          <w:lang w:val="es-ES"/>
        </w:rPr>
      </w:pPr>
      <w:r>
        <w:rPr>
          <w:lang w:val="es-ES"/>
        </w:rPr>
        <w:t>Novedades Noviembre</w:t>
      </w:r>
      <w:r w:rsidR="00A24FF5">
        <w:rPr>
          <w:lang w:val="es-ES"/>
        </w:rPr>
        <w:t>’2014</w:t>
      </w:r>
    </w:p>
    <w:p w:rsidR="00570ADB" w:rsidRPr="00570ADB" w:rsidRDefault="00A24FF5" w:rsidP="00570ADB">
      <w:pPr>
        <w:pStyle w:val="Prrafodelista"/>
        <w:numPr>
          <w:ilvl w:val="0"/>
          <w:numId w:val="3"/>
        </w:numPr>
        <w:jc w:val="both"/>
        <w:rPr>
          <w:lang w:val="es-ES"/>
        </w:rPr>
      </w:pPr>
      <w:r>
        <w:rPr>
          <w:lang w:val="es-ES"/>
        </w:rPr>
        <w:t>La fecha tope para la implantación de la directiva es el 1 de junio de 2016</w:t>
      </w:r>
    </w:p>
    <w:p w:rsidR="00521479" w:rsidRPr="00D465DB" w:rsidRDefault="00521479" w:rsidP="00521479">
      <w:pPr>
        <w:pStyle w:val="Ttulo2"/>
        <w:tabs>
          <w:tab w:val="clear" w:pos="0"/>
          <w:tab w:val="num" w:pos="851"/>
        </w:tabs>
        <w:ind w:left="851" w:hanging="851"/>
        <w:jc w:val="both"/>
        <w:rPr>
          <w:b w:val="0"/>
          <w:i w:val="0"/>
          <w:lang w:val="es-ES"/>
        </w:rPr>
      </w:pPr>
      <w:bookmarkStart w:id="17" w:name="_Toc404614854"/>
      <w:r>
        <w:rPr>
          <w:b w:val="0"/>
          <w:i w:val="0"/>
          <w:lang w:val="es-ES"/>
        </w:rPr>
        <w:t xml:space="preserve">EMFP - </w:t>
      </w:r>
      <w:r w:rsidRPr="00D465DB">
        <w:rPr>
          <w:b w:val="0"/>
          <w:i w:val="0"/>
          <w:lang w:val="es-ES"/>
        </w:rPr>
        <w:t>Recomendación EMF para público en general</w:t>
      </w:r>
      <w:bookmarkEnd w:id="17"/>
    </w:p>
    <w:p w:rsidR="00521479" w:rsidRDefault="00521479" w:rsidP="00614F18">
      <w:pPr>
        <w:pStyle w:val="Prrafodelista"/>
        <w:numPr>
          <w:ilvl w:val="0"/>
          <w:numId w:val="10"/>
        </w:numPr>
        <w:rPr>
          <w:lang w:val="es-ES"/>
        </w:rPr>
      </w:pPr>
      <w:r>
        <w:rPr>
          <w:lang w:val="es-ES"/>
        </w:rPr>
        <w:t xml:space="preserve">Al tratarse de una “recomendación” </w:t>
      </w:r>
      <w:r w:rsidR="004B0F66">
        <w:rPr>
          <w:lang w:val="es-ES"/>
        </w:rPr>
        <w:t xml:space="preserve">del consejo </w:t>
      </w:r>
      <w:r>
        <w:rPr>
          <w:lang w:val="es-ES"/>
        </w:rPr>
        <w:t>(</w:t>
      </w:r>
      <w:r w:rsidR="004B0F66">
        <w:rPr>
          <w:lang w:val="es-ES"/>
        </w:rPr>
        <w:t xml:space="preserve">de referencia </w:t>
      </w:r>
      <w:r>
        <w:rPr>
          <w:lang w:val="es-ES"/>
        </w:rPr>
        <w:t>1999/515/EC) no establece obligaciones legales</w:t>
      </w:r>
    </w:p>
    <w:p w:rsidR="00521479" w:rsidRDefault="00521479" w:rsidP="00614F18">
      <w:pPr>
        <w:pStyle w:val="Prrafodelista"/>
        <w:numPr>
          <w:ilvl w:val="0"/>
          <w:numId w:val="10"/>
        </w:numPr>
        <w:rPr>
          <w:lang w:val="es-ES"/>
        </w:rPr>
      </w:pPr>
      <w:r>
        <w:rPr>
          <w:lang w:val="es-ES"/>
        </w:rPr>
        <w:t xml:space="preserve">Recoge los límites establecidos en el ICNIRP (international commission on non-ionozing radiation protection - </w:t>
      </w:r>
      <w:hyperlink r:id="rId22" w:history="1">
        <w:r w:rsidRPr="002A62FB">
          <w:rPr>
            <w:rStyle w:val="Hipervnculo"/>
            <w:lang w:val="es-ES"/>
          </w:rPr>
          <w:t>www.icnirp.de</w:t>
        </w:r>
      </w:hyperlink>
      <w:r>
        <w:rPr>
          <w:lang w:val="es-ES"/>
        </w:rPr>
        <w:t xml:space="preserve"> )</w:t>
      </w:r>
    </w:p>
    <w:p w:rsidR="00521479" w:rsidRDefault="00521479" w:rsidP="00614F18">
      <w:pPr>
        <w:pStyle w:val="Prrafodelista"/>
        <w:numPr>
          <w:ilvl w:val="0"/>
          <w:numId w:val="10"/>
        </w:numPr>
        <w:rPr>
          <w:lang w:val="es-ES"/>
        </w:rPr>
      </w:pPr>
      <w:r>
        <w:rPr>
          <w:lang w:val="es-ES"/>
        </w:rPr>
        <w:t>En España sirvió de base para el RD 1066/2001, que cubre únicamente el dominio radioeléctrico</w:t>
      </w:r>
    </w:p>
    <w:p w:rsidR="00521479" w:rsidRPr="0001674A" w:rsidRDefault="00521479" w:rsidP="00EA24AB">
      <w:pPr>
        <w:jc w:val="both"/>
        <w:rPr>
          <w:lang w:val="es-ES" w:eastAsia="en-US"/>
        </w:rPr>
      </w:pPr>
    </w:p>
    <w:p w:rsidR="00570ADB" w:rsidRPr="00AD5F29" w:rsidRDefault="00570ADB" w:rsidP="00570ADB">
      <w:pPr>
        <w:pStyle w:val="Ttulo3"/>
        <w:rPr>
          <w:lang w:val="es-ES"/>
        </w:rPr>
      </w:pPr>
      <w:bookmarkStart w:id="18" w:name="_Toc292102282"/>
      <w:bookmarkStart w:id="19" w:name="_Toc292108980"/>
      <w:bookmarkStart w:id="20" w:name="_Toc292111293"/>
      <w:bookmarkStart w:id="21" w:name="_Toc292112938"/>
      <w:bookmarkStart w:id="22" w:name="_Toc292121303"/>
      <w:bookmarkStart w:id="23" w:name="_Toc292702268"/>
      <w:r>
        <w:rPr>
          <w:lang w:val="es-ES"/>
        </w:rPr>
        <w:t>Novedades Noviembre’2014</w:t>
      </w:r>
    </w:p>
    <w:p w:rsidR="00570ADB" w:rsidRPr="00570ADB" w:rsidRDefault="00570ADB" w:rsidP="00570ADB">
      <w:pPr>
        <w:pStyle w:val="Prrafodelista"/>
        <w:numPr>
          <w:ilvl w:val="0"/>
          <w:numId w:val="3"/>
        </w:numPr>
        <w:jc w:val="both"/>
        <w:rPr>
          <w:lang w:val="es-ES"/>
        </w:rPr>
      </w:pPr>
      <w:r>
        <w:rPr>
          <w:lang w:val="es-ES"/>
        </w:rPr>
        <w:t>En 2013 se lanzó una “european citizen’s initiative” sobre la exposición  a los EMF … que ha tenido visibilidad en las redes sociales</w:t>
      </w:r>
    </w:p>
    <w:p w:rsidR="008E39AC" w:rsidRDefault="008E39AC" w:rsidP="00D465DB">
      <w:pPr>
        <w:pStyle w:val="Ttulo2"/>
        <w:tabs>
          <w:tab w:val="clear" w:pos="0"/>
          <w:tab w:val="num" w:pos="851"/>
        </w:tabs>
        <w:ind w:left="851" w:hanging="851"/>
        <w:jc w:val="both"/>
        <w:rPr>
          <w:b w:val="0"/>
          <w:i w:val="0"/>
          <w:lang w:val="es-ES"/>
        </w:rPr>
      </w:pPr>
      <w:bookmarkStart w:id="24" w:name="_Toc404614855"/>
      <w:r w:rsidRPr="00D465DB">
        <w:rPr>
          <w:b w:val="0"/>
          <w:i w:val="0"/>
          <w:lang w:val="es-ES"/>
        </w:rPr>
        <w:t>REACH</w:t>
      </w:r>
      <w:bookmarkEnd w:id="18"/>
      <w:bookmarkEnd w:id="19"/>
      <w:bookmarkEnd w:id="20"/>
      <w:bookmarkEnd w:id="21"/>
      <w:bookmarkEnd w:id="22"/>
      <w:bookmarkEnd w:id="23"/>
      <w:bookmarkEnd w:id="24"/>
    </w:p>
    <w:p w:rsidR="00B550F4" w:rsidRPr="00B550F4" w:rsidRDefault="00B550F4" w:rsidP="00411495">
      <w:pPr>
        <w:pStyle w:val="Prrafodelista"/>
        <w:numPr>
          <w:ilvl w:val="0"/>
          <w:numId w:val="29"/>
        </w:numPr>
        <w:rPr>
          <w:color w:val="4F81BD" w:themeColor="accent1"/>
          <w:lang w:val="es-ES"/>
        </w:rPr>
      </w:pPr>
      <w:r w:rsidRPr="00B550F4">
        <w:rPr>
          <w:color w:val="4F81BD" w:themeColor="accent1"/>
          <w:lang w:val="es-ES"/>
        </w:rPr>
        <w:t>Artículo 95</w:t>
      </w:r>
    </w:p>
    <w:p w:rsidR="00B550F4" w:rsidRPr="00B550F4" w:rsidRDefault="00F5022D" w:rsidP="00411495">
      <w:pPr>
        <w:pStyle w:val="Prrafodelista"/>
        <w:numPr>
          <w:ilvl w:val="0"/>
          <w:numId w:val="29"/>
        </w:numPr>
        <w:rPr>
          <w:lang w:val="es-ES"/>
        </w:rPr>
      </w:pPr>
      <w:hyperlink r:id="rId23" w:history="1">
        <w:r w:rsidR="00B550F4" w:rsidRPr="00B550F4">
          <w:rPr>
            <w:rStyle w:val="Hipervnculo"/>
            <w:lang w:val="es-ES_tradnl"/>
          </w:rPr>
          <w:t>http://echa.europa.eu/es/regulations/reach</w:t>
        </w:r>
      </w:hyperlink>
    </w:p>
    <w:p w:rsidR="00B550F4" w:rsidRDefault="00B550F4" w:rsidP="00B550F4">
      <w:pPr>
        <w:rPr>
          <w:lang w:val="es-ES"/>
        </w:rPr>
      </w:pPr>
    </w:p>
    <w:p w:rsidR="00E275A2" w:rsidRPr="00BF192D" w:rsidRDefault="00E275A2" w:rsidP="00614F18">
      <w:pPr>
        <w:pStyle w:val="Prrafodelista"/>
        <w:numPr>
          <w:ilvl w:val="0"/>
          <w:numId w:val="5"/>
        </w:numPr>
        <w:jc w:val="both"/>
        <w:rPr>
          <w:color w:val="FF0000"/>
          <w:lang w:val="es-ES" w:eastAsia="en-US"/>
        </w:rPr>
      </w:pPr>
      <w:r w:rsidRPr="00BF192D">
        <w:rPr>
          <w:rFonts w:cs="Arial"/>
          <w:color w:val="FF0000"/>
          <w:sz w:val="22"/>
          <w:szCs w:val="22"/>
          <w:lang w:val="es-ES"/>
        </w:rPr>
        <w:t>Reglamento (</w:t>
      </w:r>
      <w:hyperlink r:id="rId24" w:tooltip="Término CE en el glosario" w:history="1">
        <w:r w:rsidRPr="00BF192D">
          <w:rPr>
            <w:rStyle w:val="Hipervnculo"/>
            <w:rFonts w:cs="Arial"/>
            <w:color w:val="FF0000"/>
            <w:sz w:val="22"/>
            <w:szCs w:val="22"/>
            <w:lang w:val="es-ES"/>
          </w:rPr>
          <w:t>CE</w:t>
        </w:r>
      </w:hyperlink>
      <w:r w:rsidRPr="00BF192D">
        <w:rPr>
          <w:rFonts w:cs="Arial"/>
          <w:color w:val="FF0000"/>
          <w:sz w:val="22"/>
          <w:szCs w:val="22"/>
          <w:lang w:val="es-ES"/>
        </w:rPr>
        <w:t>) nº 1907/2006</w:t>
      </w:r>
    </w:p>
    <w:p w:rsidR="00A41132" w:rsidRPr="00A41132" w:rsidRDefault="00A41132" w:rsidP="00614F18">
      <w:pPr>
        <w:pStyle w:val="Prrafodelista"/>
        <w:numPr>
          <w:ilvl w:val="0"/>
          <w:numId w:val="5"/>
        </w:numPr>
        <w:jc w:val="both"/>
        <w:rPr>
          <w:lang w:val="es-ES" w:eastAsia="en-US"/>
        </w:rPr>
      </w:pPr>
      <w:r w:rsidRPr="00A41132">
        <w:rPr>
          <w:lang w:val="es-ES" w:eastAsia="en-US"/>
        </w:rPr>
        <w:t>Este reglamento  sustituyó a  alrededor de otras 40 Normativas y Directivas europeas existentes para proporcionar un único sistema de regulación de los compuestos químicos y de una forma más organizada. En vigor desde 1/6/2007.</w:t>
      </w:r>
    </w:p>
    <w:p w:rsidR="00A41132" w:rsidRPr="00A41132" w:rsidRDefault="00A41132" w:rsidP="00614F18">
      <w:pPr>
        <w:pStyle w:val="Prrafodelista"/>
        <w:numPr>
          <w:ilvl w:val="0"/>
          <w:numId w:val="5"/>
        </w:numPr>
        <w:jc w:val="both"/>
        <w:rPr>
          <w:lang w:val="es-ES" w:eastAsia="en-US"/>
        </w:rPr>
      </w:pPr>
      <w:r w:rsidRPr="00A41132">
        <w:rPr>
          <w:lang w:val="es-ES" w:eastAsia="en-US"/>
        </w:rPr>
        <w:t>En fase de implementación</w:t>
      </w:r>
      <w:r>
        <w:rPr>
          <w:lang w:val="es-ES" w:eastAsia="en-US"/>
        </w:rPr>
        <w:t>, con las siguientes “patatas calientes”</w:t>
      </w:r>
      <w:r w:rsidRPr="00A41132">
        <w:rPr>
          <w:lang w:val="es-ES" w:eastAsia="en-US"/>
        </w:rPr>
        <w:t>:</w:t>
      </w:r>
    </w:p>
    <w:p w:rsidR="00A41132" w:rsidRPr="00A41132" w:rsidRDefault="00A41132" w:rsidP="00614F18">
      <w:pPr>
        <w:pStyle w:val="Prrafodelista"/>
        <w:numPr>
          <w:ilvl w:val="1"/>
          <w:numId w:val="5"/>
        </w:numPr>
        <w:jc w:val="both"/>
        <w:rPr>
          <w:lang w:val="es-ES" w:eastAsia="en-US"/>
        </w:rPr>
      </w:pPr>
      <w:r>
        <w:rPr>
          <w:lang w:val="es-ES" w:eastAsia="en-US"/>
        </w:rPr>
        <w:t>Registro</w:t>
      </w:r>
    </w:p>
    <w:p w:rsidR="00A41132" w:rsidRPr="00A41132" w:rsidRDefault="00A41132" w:rsidP="00614F18">
      <w:pPr>
        <w:pStyle w:val="Prrafodelista"/>
        <w:numPr>
          <w:ilvl w:val="1"/>
          <w:numId w:val="5"/>
        </w:numPr>
        <w:jc w:val="both"/>
        <w:rPr>
          <w:lang w:val="es-ES" w:eastAsia="en-US"/>
        </w:rPr>
      </w:pPr>
      <w:r>
        <w:rPr>
          <w:lang w:val="es-ES" w:eastAsia="en-US"/>
        </w:rPr>
        <w:t>Inclusión de nuevas sustancias</w:t>
      </w:r>
    </w:p>
    <w:p w:rsidR="00A41132" w:rsidRPr="00A41132" w:rsidRDefault="00A41132" w:rsidP="00614F18">
      <w:pPr>
        <w:pStyle w:val="Prrafodelista"/>
        <w:numPr>
          <w:ilvl w:val="1"/>
          <w:numId w:val="5"/>
        </w:numPr>
        <w:jc w:val="both"/>
        <w:rPr>
          <w:lang w:val="es-ES" w:eastAsia="en-US"/>
        </w:rPr>
      </w:pPr>
      <w:r w:rsidRPr="00A41132">
        <w:rPr>
          <w:lang w:val="es-ES" w:eastAsia="en-US"/>
        </w:rPr>
        <w:t>Identifica</w:t>
      </w:r>
      <w:r>
        <w:rPr>
          <w:lang w:val="es-ES" w:eastAsia="en-US"/>
        </w:rPr>
        <w:t>ción de sustancias en artículos</w:t>
      </w:r>
    </w:p>
    <w:p w:rsidR="00A41132" w:rsidRDefault="00A41132" w:rsidP="00614F18">
      <w:pPr>
        <w:pStyle w:val="Prrafodelista"/>
        <w:numPr>
          <w:ilvl w:val="0"/>
          <w:numId w:val="5"/>
        </w:numPr>
        <w:jc w:val="both"/>
        <w:rPr>
          <w:lang w:val="es-ES" w:eastAsia="en-US"/>
        </w:rPr>
      </w:pPr>
      <w:r w:rsidRPr="00A41132">
        <w:rPr>
          <w:lang w:val="es-ES" w:eastAsia="en-US"/>
        </w:rPr>
        <w:t xml:space="preserve">Como fabricantes de Alta Tensión, en función del uso o no de algunas de las sustancias registradas, </w:t>
      </w:r>
      <w:r w:rsidRPr="00CB01C3">
        <w:rPr>
          <w:color w:val="FF0000"/>
          <w:lang w:val="es-ES" w:eastAsia="en-US"/>
        </w:rPr>
        <w:t>podremos ser considerados usuarios intermedios</w:t>
      </w:r>
      <w:r w:rsidRPr="00A41132">
        <w:rPr>
          <w:lang w:val="es-ES" w:eastAsia="en-US"/>
        </w:rPr>
        <w:t>, estando sujetos a las obligaciones de acuerdo al TITULO V del reglamento.</w:t>
      </w:r>
    </w:p>
    <w:p w:rsidR="009C684F" w:rsidRDefault="009C684F" w:rsidP="00614F18">
      <w:pPr>
        <w:pStyle w:val="Prrafodelista"/>
        <w:numPr>
          <w:ilvl w:val="0"/>
          <w:numId w:val="5"/>
        </w:numPr>
        <w:jc w:val="both"/>
        <w:rPr>
          <w:lang w:val="es-ES" w:eastAsia="en-US"/>
        </w:rPr>
      </w:pPr>
      <w:r w:rsidRPr="009C684F">
        <w:rPr>
          <w:lang w:val="es-ES" w:eastAsia="en-US"/>
        </w:rPr>
        <w:t xml:space="preserve">En febrero de 2012 se publicó el </w:t>
      </w:r>
      <w:r>
        <w:rPr>
          <w:lang w:val="es-ES" w:eastAsia="en-US"/>
        </w:rPr>
        <w:t xml:space="preserve">reglamento </w:t>
      </w:r>
      <w:r w:rsidRPr="009C684F">
        <w:rPr>
          <w:lang w:val="es-ES" w:eastAsia="en-US"/>
        </w:rPr>
        <w:t>125/2012</w:t>
      </w:r>
      <w:r>
        <w:rPr>
          <w:lang w:val="es-ES" w:eastAsia="en-US"/>
        </w:rPr>
        <w:t>:</w:t>
      </w:r>
    </w:p>
    <w:p w:rsidR="009C684F" w:rsidRPr="009C684F" w:rsidRDefault="009C684F" w:rsidP="00614F18">
      <w:pPr>
        <w:pStyle w:val="Prrafodelista"/>
        <w:numPr>
          <w:ilvl w:val="1"/>
          <w:numId w:val="5"/>
        </w:numPr>
        <w:jc w:val="both"/>
        <w:rPr>
          <w:lang w:val="es-ES" w:eastAsia="en-US"/>
        </w:rPr>
      </w:pPr>
      <w:r>
        <w:rPr>
          <w:lang w:val="es-ES" w:eastAsia="en-US"/>
        </w:rPr>
        <w:t>S</w:t>
      </w:r>
      <w:r w:rsidRPr="009C684F">
        <w:rPr>
          <w:lang w:val="es-ES" w:eastAsia="en-US"/>
        </w:rPr>
        <w:t>e modifica el anexo XIV del reglamento 1907/2006 (lista de sustancias sujetas a autorizació</w:t>
      </w:r>
      <w:r w:rsidR="00757875">
        <w:rPr>
          <w:lang w:val="es-ES" w:eastAsia="en-US"/>
        </w:rPr>
        <w:t xml:space="preserve">n) </w:t>
      </w:r>
      <w:r>
        <w:rPr>
          <w:lang w:val="es-ES" w:eastAsia="en-US"/>
        </w:rPr>
        <w:t>añadiendo nuevas sustancias</w:t>
      </w:r>
    </w:p>
    <w:p w:rsidR="00757875" w:rsidRPr="00757875" w:rsidRDefault="00757875" w:rsidP="00614F18">
      <w:pPr>
        <w:pStyle w:val="Prrafodelista"/>
        <w:numPr>
          <w:ilvl w:val="1"/>
          <w:numId w:val="5"/>
        </w:numPr>
        <w:jc w:val="both"/>
        <w:rPr>
          <w:color w:val="FF0000"/>
          <w:lang w:val="es-ES" w:eastAsia="en-US"/>
        </w:rPr>
      </w:pPr>
      <w:r w:rsidRPr="00757875">
        <w:rPr>
          <w:color w:val="FF0000"/>
          <w:lang w:val="es-ES" w:eastAsia="en-US"/>
        </w:rPr>
        <w:t>LA ULTIMA VERSIÓN CONSOLIDADA DEL REGLAMENTO DE FECHA 1/6/12  INCORPORA LAS DIFERENTES MODIFICACIONES Y ANEXOS QUE SE HAN IDO INTRODUCIENDO EN EL REGLAMENTO. TIENE CARÁCTER DOCUMENTAL SIN VALOR LEGAL.</w:t>
      </w:r>
    </w:p>
    <w:p w:rsidR="008040ED" w:rsidRDefault="008040ED" w:rsidP="008040ED">
      <w:pPr>
        <w:jc w:val="both"/>
        <w:rPr>
          <w:lang w:val="en-US" w:eastAsia="en-US"/>
        </w:rPr>
      </w:pPr>
    </w:p>
    <w:p w:rsidR="008040ED" w:rsidRDefault="00E275A2" w:rsidP="00E275A2">
      <w:pPr>
        <w:pStyle w:val="Ttulo3"/>
        <w:rPr>
          <w:lang w:val="es-ES"/>
        </w:rPr>
      </w:pPr>
      <w:r>
        <w:rPr>
          <w:lang w:val="es-ES"/>
        </w:rPr>
        <w:t>Novedades Noviembre’</w:t>
      </w:r>
      <w:r w:rsidR="00570ADB">
        <w:rPr>
          <w:lang w:val="es-ES"/>
        </w:rPr>
        <w:t>2014</w:t>
      </w:r>
    </w:p>
    <w:p w:rsidR="001802AB" w:rsidRPr="0053158B" w:rsidRDefault="00890DC7" w:rsidP="00614F18">
      <w:pPr>
        <w:pStyle w:val="Prrafodelista"/>
        <w:numPr>
          <w:ilvl w:val="0"/>
          <w:numId w:val="5"/>
        </w:numPr>
        <w:rPr>
          <w:lang w:val="es-ES"/>
        </w:rPr>
      </w:pPr>
      <w:r w:rsidRPr="0053158B">
        <w:rPr>
          <w:lang w:val="es-ES"/>
        </w:rPr>
        <w:t>Dos nuevas sustancias incluidas en la “candidate list”</w:t>
      </w:r>
    </w:p>
    <w:p w:rsidR="0034356D" w:rsidRPr="0053158B" w:rsidRDefault="0034356D" w:rsidP="00411495">
      <w:pPr>
        <w:pStyle w:val="Prrafodelista"/>
        <w:numPr>
          <w:ilvl w:val="0"/>
          <w:numId w:val="18"/>
        </w:numPr>
        <w:rPr>
          <w:lang w:val="es-ES"/>
        </w:rPr>
      </w:pPr>
      <w:r w:rsidRPr="0053158B">
        <w:rPr>
          <w:lang w:val="es-ES"/>
        </w:rPr>
        <w:t>En diciembre de 2012, la ECHA (European Chemical Agency) ha añadido dos nuevas sustancias a la lista de SVHC (Substances of Very High Concern)</w:t>
      </w:r>
    </w:p>
    <w:p w:rsidR="0034356D" w:rsidRPr="0053158B" w:rsidRDefault="0034356D" w:rsidP="00411495">
      <w:pPr>
        <w:pStyle w:val="Prrafodelista"/>
        <w:numPr>
          <w:ilvl w:val="0"/>
          <w:numId w:val="18"/>
        </w:numPr>
        <w:rPr>
          <w:lang w:val="es-ES"/>
        </w:rPr>
      </w:pPr>
      <w:r w:rsidRPr="0053158B">
        <w:rPr>
          <w:lang w:val="es-ES"/>
        </w:rPr>
        <w:t>Se trata de 2 anhídridos utilizados como endurecedores del epoxy:</w:t>
      </w:r>
    </w:p>
    <w:p w:rsidR="001802AB" w:rsidRPr="0053158B" w:rsidRDefault="001802AB" w:rsidP="00411495">
      <w:pPr>
        <w:pStyle w:val="Prrafodelista"/>
        <w:numPr>
          <w:ilvl w:val="1"/>
          <w:numId w:val="18"/>
        </w:numPr>
        <w:rPr>
          <w:lang w:val="en-US"/>
        </w:rPr>
      </w:pPr>
      <w:r w:rsidRPr="0053158B">
        <w:rPr>
          <w:lang w:val="en-US"/>
        </w:rPr>
        <w:t xml:space="preserve">MHHPA </w:t>
      </w:r>
      <w:r w:rsidR="0034356D" w:rsidRPr="0053158B">
        <w:rPr>
          <w:lang w:val="en-US"/>
        </w:rPr>
        <w:t>y HHPA</w:t>
      </w:r>
    </w:p>
    <w:p w:rsidR="001802AB" w:rsidRPr="0053158B" w:rsidRDefault="00890DC7" w:rsidP="00411495">
      <w:pPr>
        <w:pStyle w:val="Prrafodelista"/>
        <w:numPr>
          <w:ilvl w:val="0"/>
          <w:numId w:val="18"/>
        </w:numPr>
        <w:rPr>
          <w:lang w:val="es-ES"/>
        </w:rPr>
      </w:pPr>
      <w:r w:rsidRPr="0053158B">
        <w:rPr>
          <w:lang w:val="es-ES"/>
        </w:rPr>
        <w:t>Ahora es imposible quitar las dos sustancias de la lista SVHC (habría que acometer acciones legales contra la ECHA)</w:t>
      </w:r>
    </w:p>
    <w:p w:rsidR="00890DC7" w:rsidRPr="0053158B" w:rsidRDefault="00890DC7" w:rsidP="00411495">
      <w:pPr>
        <w:pStyle w:val="Prrafodelista"/>
        <w:numPr>
          <w:ilvl w:val="0"/>
          <w:numId w:val="18"/>
        </w:numPr>
        <w:rPr>
          <w:lang w:val="es-ES"/>
        </w:rPr>
      </w:pPr>
      <w:r w:rsidRPr="0053158B">
        <w:rPr>
          <w:lang w:val="es-ES"/>
        </w:rPr>
        <w:t>El riesgo consiste en que dichas 2 sustancias sean incluidas en la conocida como “authorisation list”</w:t>
      </w:r>
    </w:p>
    <w:p w:rsidR="00AF3C94" w:rsidRPr="0053158B" w:rsidRDefault="00AF3C94" w:rsidP="00411495">
      <w:pPr>
        <w:pStyle w:val="Prrafodelista"/>
        <w:numPr>
          <w:ilvl w:val="0"/>
          <w:numId w:val="18"/>
        </w:numPr>
        <w:rPr>
          <w:lang w:val="es-ES"/>
        </w:rPr>
      </w:pPr>
      <w:bookmarkStart w:id="25" w:name="OLE_LINK7"/>
      <w:bookmarkStart w:id="26" w:name="OLE_LINK8"/>
      <w:bookmarkStart w:id="27" w:name="_Toc292702272"/>
      <w:r w:rsidRPr="0053158B">
        <w:rPr>
          <w:lang w:val="es-ES"/>
        </w:rPr>
        <w:lastRenderedPageBreak/>
        <w:t>Existe un PP de T&amp;D</w:t>
      </w:r>
    </w:p>
    <w:p w:rsidR="00B550F4" w:rsidRPr="0053158B" w:rsidRDefault="00B550F4" w:rsidP="00411495">
      <w:pPr>
        <w:pStyle w:val="Prrafodelista"/>
        <w:numPr>
          <w:ilvl w:val="0"/>
          <w:numId w:val="18"/>
        </w:numPr>
        <w:rPr>
          <w:lang w:val="es-ES"/>
        </w:rPr>
      </w:pPr>
      <w:r w:rsidRPr="0053158B">
        <w:rPr>
          <w:lang w:val="es-ES"/>
        </w:rPr>
        <w:t xml:space="preserve">Proceso judicial (T-134/13  y T 135/13)  interpuesto por varias empresas para intentar la anulación parcial de la decisión de la Echa ED/169/2012 relativa a la inclusión de HHPA y MHHPA como sustancias que reúnen los criterios establecidos en el articulo 57 de Reach. </w:t>
      </w:r>
    </w:p>
    <w:p w:rsidR="00B550F4" w:rsidRPr="0053158B" w:rsidRDefault="00B550F4" w:rsidP="00411495">
      <w:pPr>
        <w:pStyle w:val="Prrafodelista"/>
        <w:numPr>
          <w:ilvl w:val="0"/>
          <w:numId w:val="18"/>
        </w:numPr>
        <w:rPr>
          <w:lang w:val="es-ES"/>
        </w:rPr>
      </w:pPr>
      <w:r w:rsidRPr="0053158B">
        <w:rPr>
          <w:lang w:val="es-ES"/>
        </w:rPr>
        <w:t>La ECha no esperaría a resultado del proceso judicial, antes de decidir si la sustancia reúne los criterios para incluirla en el anexo XIV (sustancias sujetas a autorización), DEL REACH , previsto para 2018 3N en adelante,.  La Echa podría aplicar, los argumentos y motivaciones del proceso,  en los criterios uso de estas sustancias.</w:t>
      </w:r>
    </w:p>
    <w:p w:rsidR="008E39AC" w:rsidRPr="00D465DB" w:rsidRDefault="0094485C" w:rsidP="00D465DB">
      <w:pPr>
        <w:pStyle w:val="Ttulo2"/>
        <w:tabs>
          <w:tab w:val="clear" w:pos="0"/>
          <w:tab w:val="num" w:pos="851"/>
        </w:tabs>
        <w:ind w:left="851" w:hanging="851"/>
        <w:jc w:val="both"/>
        <w:rPr>
          <w:b w:val="0"/>
          <w:i w:val="0"/>
          <w:lang w:val="es-ES"/>
        </w:rPr>
      </w:pPr>
      <w:bookmarkStart w:id="28" w:name="_Toc404614856"/>
      <w:r>
        <w:rPr>
          <w:b w:val="0"/>
          <w:i w:val="0"/>
          <w:lang w:val="es-ES"/>
        </w:rPr>
        <w:t xml:space="preserve">F-GASES - </w:t>
      </w:r>
      <w:r w:rsidR="0053158B">
        <w:rPr>
          <w:b w:val="0"/>
          <w:i w:val="0"/>
          <w:lang w:val="es-ES"/>
        </w:rPr>
        <w:t>R</w:t>
      </w:r>
      <w:r w:rsidR="001C6E81" w:rsidRPr="00D465DB">
        <w:rPr>
          <w:b w:val="0"/>
          <w:i w:val="0"/>
          <w:lang w:val="es-ES"/>
        </w:rPr>
        <w:t>eglamento de gases fluorados</w:t>
      </w:r>
      <w:bookmarkEnd w:id="25"/>
      <w:bookmarkEnd w:id="26"/>
      <w:bookmarkEnd w:id="27"/>
      <w:r w:rsidR="0053158B">
        <w:rPr>
          <w:b w:val="0"/>
          <w:i w:val="0"/>
          <w:lang w:val="es-ES"/>
        </w:rPr>
        <w:t xml:space="preserve"> (517/2014)</w:t>
      </w:r>
      <w:bookmarkEnd w:id="28"/>
    </w:p>
    <w:p w:rsidR="00E9651E" w:rsidRPr="00E9651E" w:rsidRDefault="00E9651E" w:rsidP="00E9651E">
      <w:pPr>
        <w:pStyle w:val="Prrafodelista"/>
        <w:numPr>
          <w:ilvl w:val="0"/>
          <w:numId w:val="7"/>
        </w:numPr>
        <w:spacing w:after="120" w:line="276" w:lineRule="auto"/>
        <w:jc w:val="both"/>
        <w:rPr>
          <w:lang w:val="es-ES"/>
        </w:rPr>
      </w:pPr>
      <w:r w:rsidRPr="00E9651E">
        <w:rPr>
          <w:lang w:val="es-ES"/>
        </w:rPr>
        <w:t xml:space="preserve">El 14 de abril el Consejo adopta el texto definitivo del Reglamento de Gases Fluorados, como resultado del proceso de “trialogo”, que se publica </w:t>
      </w:r>
      <w:r>
        <w:rPr>
          <w:lang w:val="es-ES"/>
        </w:rPr>
        <w:t xml:space="preserve">en </w:t>
      </w:r>
      <w:r w:rsidRPr="00E9651E">
        <w:rPr>
          <w:lang w:val="es-ES"/>
        </w:rPr>
        <w:t>mayo de 2014 en el DOCE</w:t>
      </w:r>
    </w:p>
    <w:p w:rsidR="0053158B" w:rsidRDefault="0053158B" w:rsidP="00614F18">
      <w:pPr>
        <w:pStyle w:val="Prrafodelista"/>
        <w:numPr>
          <w:ilvl w:val="0"/>
          <w:numId w:val="7"/>
        </w:numPr>
        <w:spacing w:after="120" w:line="276" w:lineRule="auto"/>
        <w:jc w:val="both"/>
        <w:rPr>
          <w:lang w:val="es-ES"/>
        </w:rPr>
      </w:pPr>
      <w:r>
        <w:rPr>
          <w:lang w:val="es-ES"/>
        </w:rPr>
        <w:t>A partir de enero de 2015, el reglamento nuevo (517/2014) reemplazará al viejo (842/2006)</w:t>
      </w:r>
    </w:p>
    <w:p w:rsidR="0053158B" w:rsidRDefault="0053158B" w:rsidP="00614F18">
      <w:pPr>
        <w:pStyle w:val="Prrafodelista"/>
        <w:numPr>
          <w:ilvl w:val="0"/>
          <w:numId w:val="7"/>
        </w:numPr>
        <w:spacing w:after="120" w:line="276" w:lineRule="auto"/>
        <w:jc w:val="both"/>
        <w:rPr>
          <w:lang w:val="es-ES"/>
        </w:rPr>
      </w:pPr>
      <w:r>
        <w:rPr>
          <w:lang w:val="es-ES"/>
        </w:rPr>
        <w:t>El reglamento cubre los gases fluorados incluidos en el protocolo de Kyoto, entre ellos el SF6 destinado a aparamenta eléctrica.</w:t>
      </w:r>
    </w:p>
    <w:p w:rsidR="0053158B" w:rsidRDefault="0053158B" w:rsidP="00614F18">
      <w:pPr>
        <w:pStyle w:val="Prrafodelista"/>
        <w:numPr>
          <w:ilvl w:val="0"/>
          <w:numId w:val="7"/>
        </w:numPr>
        <w:spacing w:after="120" w:line="276" w:lineRule="auto"/>
        <w:jc w:val="both"/>
        <w:rPr>
          <w:lang w:val="es-ES"/>
        </w:rPr>
      </w:pPr>
      <w:r>
        <w:rPr>
          <w:lang w:val="es-ES"/>
        </w:rPr>
        <w:t>De cara a reducir las emisiones de dichos gases, el reglamento establece una serie de reglas en relación a su contención, uso, recuperación y destrucción.</w:t>
      </w:r>
    </w:p>
    <w:p w:rsidR="0053158B" w:rsidRDefault="0053158B" w:rsidP="00614F18">
      <w:pPr>
        <w:pStyle w:val="Prrafodelista"/>
        <w:numPr>
          <w:ilvl w:val="0"/>
          <w:numId w:val="7"/>
        </w:numPr>
        <w:spacing w:after="120" w:line="276" w:lineRule="auto"/>
        <w:jc w:val="both"/>
        <w:rPr>
          <w:lang w:val="es-ES"/>
        </w:rPr>
      </w:pPr>
      <w:r>
        <w:rPr>
          <w:lang w:val="es-ES"/>
        </w:rPr>
        <w:t>Impone ciertas condiciones (incluyendo prohibiciones)</w:t>
      </w:r>
      <w:r w:rsidR="00E042AD">
        <w:rPr>
          <w:lang w:val="es-ES"/>
        </w:rPr>
        <w:t xml:space="preserve"> a los productos y equipos que contengan gases fluorados</w:t>
      </w:r>
    </w:p>
    <w:p w:rsidR="00E9651E" w:rsidRPr="00E9651E" w:rsidRDefault="00E9651E" w:rsidP="00E9651E">
      <w:pPr>
        <w:pStyle w:val="Prrafodelista"/>
        <w:numPr>
          <w:ilvl w:val="0"/>
          <w:numId w:val="7"/>
        </w:numPr>
        <w:spacing w:after="120" w:line="276" w:lineRule="auto"/>
        <w:jc w:val="both"/>
        <w:rPr>
          <w:lang w:val="es-ES"/>
        </w:rPr>
      </w:pPr>
      <w:r w:rsidRPr="00E9651E">
        <w:rPr>
          <w:lang w:val="es-ES"/>
        </w:rPr>
        <w:t>Según el nuevo reglamento</w:t>
      </w:r>
    </w:p>
    <w:p w:rsidR="00E9651E" w:rsidRPr="00E9651E" w:rsidRDefault="00E9651E" w:rsidP="00E9651E">
      <w:pPr>
        <w:pStyle w:val="Prrafodelista"/>
        <w:numPr>
          <w:ilvl w:val="1"/>
          <w:numId w:val="7"/>
        </w:numPr>
        <w:spacing w:after="120" w:line="276" w:lineRule="auto"/>
        <w:jc w:val="both"/>
        <w:rPr>
          <w:lang w:val="es-ES"/>
        </w:rPr>
      </w:pPr>
      <w:r w:rsidRPr="00E9651E">
        <w:rPr>
          <w:lang w:val="es-ES"/>
        </w:rPr>
        <w:t>El SF6 no se menciona en el anexo III donde se aclaran las prohibiciones</w:t>
      </w:r>
    </w:p>
    <w:p w:rsidR="00E9651E" w:rsidRPr="00E9651E" w:rsidRDefault="00E9651E" w:rsidP="00E9651E">
      <w:pPr>
        <w:pStyle w:val="Prrafodelista"/>
        <w:numPr>
          <w:ilvl w:val="1"/>
          <w:numId w:val="7"/>
        </w:numPr>
        <w:spacing w:after="120" w:line="276" w:lineRule="auto"/>
        <w:jc w:val="both"/>
        <w:rPr>
          <w:lang w:val="es-ES"/>
        </w:rPr>
      </w:pPr>
      <w:r w:rsidRPr="00E9651E">
        <w:rPr>
          <w:lang w:val="es-ES"/>
        </w:rPr>
        <w:t>Se permite un uso sin restricciones del SF6</w:t>
      </w:r>
    </w:p>
    <w:p w:rsidR="00E9651E" w:rsidRDefault="00E9651E" w:rsidP="00E9651E">
      <w:pPr>
        <w:pStyle w:val="Prrafodelista"/>
        <w:numPr>
          <w:ilvl w:val="1"/>
          <w:numId w:val="7"/>
        </w:numPr>
        <w:spacing w:after="120" w:line="276" w:lineRule="auto"/>
        <w:jc w:val="both"/>
        <w:rPr>
          <w:lang w:val="es-ES"/>
        </w:rPr>
      </w:pPr>
      <w:r>
        <w:rPr>
          <w:lang w:val="es-ES"/>
        </w:rPr>
        <w:t>En el capítulo VI, artículo 21, apartado 4:</w:t>
      </w:r>
    </w:p>
    <w:p w:rsidR="00E9651E" w:rsidRPr="00E9651E" w:rsidRDefault="00E9651E" w:rsidP="00E9651E">
      <w:pPr>
        <w:pStyle w:val="Prrafodelista"/>
        <w:numPr>
          <w:ilvl w:val="0"/>
          <w:numId w:val="7"/>
        </w:numPr>
        <w:spacing w:after="120" w:line="276" w:lineRule="auto"/>
        <w:ind w:left="1778"/>
        <w:jc w:val="both"/>
        <w:rPr>
          <w:lang w:val="es-ES"/>
        </w:rPr>
      </w:pPr>
      <w:r w:rsidRPr="00E9651E">
        <w:rPr>
          <w:lang w:val="es-ES"/>
        </w:rPr>
        <w:lastRenderedPageBreak/>
        <w:t>La CE deberá publicar un informe, con anterioridad al</w:t>
      </w:r>
      <w:r w:rsidR="005771C9">
        <w:rPr>
          <w:lang w:val="es-ES"/>
        </w:rPr>
        <w:t xml:space="preserve"> </w:t>
      </w:r>
      <w:r w:rsidRPr="00E9651E">
        <w:rPr>
          <w:lang w:val="es-ES"/>
        </w:rPr>
        <w:t>1 de julio de 2020, donde se evalue la existencia de alternativas técnicamente viables y económicamente rentables para reemplazar los F-gases en la aparamenta de distribución secundaria</w:t>
      </w:r>
    </w:p>
    <w:p w:rsidR="00E9651E" w:rsidRPr="00E9651E" w:rsidRDefault="00E9651E" w:rsidP="00E9651E">
      <w:pPr>
        <w:pStyle w:val="Prrafodelista"/>
        <w:numPr>
          <w:ilvl w:val="0"/>
          <w:numId w:val="7"/>
        </w:numPr>
        <w:spacing w:after="120" w:line="276" w:lineRule="auto"/>
        <w:ind w:left="1778"/>
        <w:jc w:val="both"/>
        <w:rPr>
          <w:lang w:val="es-ES"/>
        </w:rPr>
      </w:pPr>
      <w:r w:rsidRPr="00E9651E">
        <w:rPr>
          <w:lang w:val="es-ES"/>
        </w:rPr>
        <w:t>De acuerdo con el estudio, deberá enviar al PE una propuesta legislativa para enmendar la lista del anexo III (lista de productos prohibidos)</w:t>
      </w:r>
    </w:p>
    <w:p w:rsidR="006F02D4" w:rsidRPr="00B72DCC" w:rsidRDefault="00B72DCC" w:rsidP="00B72DCC">
      <w:pPr>
        <w:pStyle w:val="Prrafodelista"/>
        <w:numPr>
          <w:ilvl w:val="0"/>
          <w:numId w:val="7"/>
        </w:numPr>
        <w:spacing w:after="120" w:line="276" w:lineRule="auto"/>
        <w:jc w:val="both"/>
        <w:rPr>
          <w:lang w:val="es-ES"/>
        </w:rPr>
      </w:pPr>
      <w:r w:rsidRPr="00B72DCC">
        <w:rPr>
          <w:lang w:val="es-ES"/>
        </w:rPr>
        <w:t xml:space="preserve">Otros aspectos de interés: </w:t>
      </w:r>
      <w:r w:rsidR="006F02D4" w:rsidRPr="00B72DCC">
        <w:rPr>
          <w:lang w:val="es-ES"/>
        </w:rPr>
        <w:t>Artículo 10 sobre “labelling, product and equipment information”</w:t>
      </w:r>
    </w:p>
    <w:p w:rsidR="002C1F67" w:rsidRPr="002C1F67" w:rsidRDefault="002C1F67" w:rsidP="00B72DCC">
      <w:pPr>
        <w:pStyle w:val="Prrafodelista"/>
        <w:numPr>
          <w:ilvl w:val="1"/>
          <w:numId w:val="6"/>
        </w:numPr>
        <w:jc w:val="both"/>
        <w:rPr>
          <w:lang w:val="en-US"/>
        </w:rPr>
      </w:pPr>
      <w:r w:rsidRPr="002C1F67">
        <w:rPr>
          <w:lang w:val="en-US"/>
        </w:rPr>
        <w:t>El labelling</w:t>
      </w:r>
    </w:p>
    <w:p w:rsidR="002C1F67" w:rsidRPr="002C1F67" w:rsidRDefault="002C1F67" w:rsidP="00B72DCC">
      <w:pPr>
        <w:pStyle w:val="Prrafodelista"/>
        <w:numPr>
          <w:ilvl w:val="2"/>
          <w:numId w:val="6"/>
        </w:numPr>
        <w:jc w:val="both"/>
        <w:rPr>
          <w:lang w:val="en-US"/>
        </w:rPr>
      </w:pPr>
      <w:r w:rsidRPr="002C1F67">
        <w:rPr>
          <w:lang w:val="en-US"/>
        </w:rPr>
        <w:t>Quantity of SF6 in CO2 equivalent, from 1 January 2017</w:t>
      </w:r>
    </w:p>
    <w:p w:rsidR="002C1F67" w:rsidRPr="002C1F67" w:rsidRDefault="002C1F67" w:rsidP="00B72DCC">
      <w:pPr>
        <w:pStyle w:val="Prrafodelista"/>
        <w:numPr>
          <w:ilvl w:val="2"/>
          <w:numId w:val="6"/>
        </w:numPr>
        <w:jc w:val="both"/>
        <w:rPr>
          <w:lang w:val="en-US"/>
        </w:rPr>
      </w:pPr>
      <w:r w:rsidRPr="002C1F67">
        <w:rPr>
          <w:lang w:val="en-US"/>
        </w:rPr>
        <w:t>GWP</w:t>
      </w:r>
    </w:p>
    <w:p w:rsidR="002C1F67" w:rsidRPr="002C1F67" w:rsidRDefault="002C1F67" w:rsidP="00B72DCC">
      <w:pPr>
        <w:pStyle w:val="Prrafodelista"/>
        <w:numPr>
          <w:ilvl w:val="2"/>
          <w:numId w:val="6"/>
        </w:numPr>
        <w:jc w:val="both"/>
        <w:rPr>
          <w:lang w:val="en-US"/>
        </w:rPr>
      </w:pPr>
      <w:r w:rsidRPr="002C1F67">
        <w:rPr>
          <w:lang w:val="en-US"/>
        </w:rPr>
        <w:t>Leakage rate &lt; 0,1% per year (where stated in the technical specification)</w:t>
      </w:r>
    </w:p>
    <w:p w:rsidR="002C1F67" w:rsidRPr="002C1F67" w:rsidRDefault="002C1F67" w:rsidP="00B72DCC">
      <w:pPr>
        <w:pStyle w:val="Prrafodelista"/>
        <w:numPr>
          <w:ilvl w:val="2"/>
          <w:numId w:val="6"/>
        </w:numPr>
        <w:jc w:val="both"/>
        <w:rPr>
          <w:lang w:val="en-US"/>
        </w:rPr>
      </w:pPr>
      <w:r w:rsidRPr="002C1F67">
        <w:rPr>
          <w:lang w:val="en-US"/>
        </w:rPr>
        <w:t>Label in official languages of the Member State in which it is to be placed on the market</w:t>
      </w:r>
    </w:p>
    <w:p w:rsidR="002C1F67" w:rsidRPr="002C1F67" w:rsidRDefault="002C1F67" w:rsidP="00B72DCC">
      <w:pPr>
        <w:pStyle w:val="Prrafodelista"/>
        <w:numPr>
          <w:ilvl w:val="1"/>
          <w:numId w:val="6"/>
        </w:numPr>
        <w:jc w:val="both"/>
        <w:rPr>
          <w:lang w:val="en-US"/>
        </w:rPr>
      </w:pPr>
      <w:r w:rsidRPr="002C1F67">
        <w:rPr>
          <w:lang w:val="en-US"/>
        </w:rPr>
        <w:t>El reporting</w:t>
      </w:r>
    </w:p>
    <w:p w:rsidR="002C1F67" w:rsidRPr="002C1F67" w:rsidRDefault="002C1F67" w:rsidP="00B72DCC">
      <w:pPr>
        <w:pStyle w:val="Prrafodelista"/>
        <w:numPr>
          <w:ilvl w:val="2"/>
          <w:numId w:val="6"/>
        </w:numPr>
        <w:jc w:val="both"/>
        <w:rPr>
          <w:lang w:val="en-US"/>
        </w:rPr>
      </w:pPr>
      <w:r w:rsidRPr="002C1F67">
        <w:rPr>
          <w:lang w:val="en-US"/>
        </w:rPr>
        <w:t>From 31 March 2015, all switchgear manufacturing plants will have to report annually the quantity of SF6 in equipment placed on the market</w:t>
      </w:r>
    </w:p>
    <w:p w:rsidR="002C1F67" w:rsidRPr="002C1F67" w:rsidRDefault="002C1F67" w:rsidP="00B72DCC">
      <w:pPr>
        <w:pStyle w:val="Prrafodelista"/>
        <w:numPr>
          <w:ilvl w:val="1"/>
          <w:numId w:val="6"/>
        </w:numPr>
        <w:jc w:val="both"/>
        <w:rPr>
          <w:lang w:val="en-US"/>
        </w:rPr>
      </w:pPr>
      <w:r w:rsidRPr="002C1F67">
        <w:rPr>
          <w:lang w:val="en-US"/>
        </w:rPr>
        <w:t>No leakage checking</w:t>
      </w:r>
    </w:p>
    <w:p w:rsidR="002C1F67" w:rsidRPr="002C1F67" w:rsidRDefault="002C1F67" w:rsidP="00B72DCC">
      <w:pPr>
        <w:pStyle w:val="Prrafodelista"/>
        <w:numPr>
          <w:ilvl w:val="1"/>
          <w:numId w:val="6"/>
        </w:numPr>
        <w:jc w:val="both"/>
        <w:rPr>
          <w:lang w:val="en-US"/>
        </w:rPr>
      </w:pPr>
      <w:r w:rsidRPr="002C1F67">
        <w:rPr>
          <w:lang w:val="en-US"/>
        </w:rPr>
        <w:t>No Leakage detection systems</w:t>
      </w:r>
    </w:p>
    <w:p w:rsidR="002C1F67" w:rsidRPr="002C1F67" w:rsidRDefault="002C1F67" w:rsidP="00B72DCC">
      <w:pPr>
        <w:pStyle w:val="Prrafodelista"/>
        <w:numPr>
          <w:ilvl w:val="1"/>
          <w:numId w:val="6"/>
        </w:numPr>
        <w:jc w:val="both"/>
        <w:rPr>
          <w:lang w:val="en-US"/>
        </w:rPr>
      </w:pPr>
      <w:r w:rsidRPr="002C1F67">
        <w:rPr>
          <w:lang w:val="en-US"/>
        </w:rPr>
        <w:t>Record keeping</w:t>
      </w:r>
    </w:p>
    <w:p w:rsidR="002C1F67" w:rsidRPr="002C1F67" w:rsidRDefault="002C1F67" w:rsidP="00B72DCC">
      <w:pPr>
        <w:pStyle w:val="Prrafodelista"/>
        <w:numPr>
          <w:ilvl w:val="2"/>
          <w:numId w:val="6"/>
        </w:numPr>
        <w:jc w:val="both"/>
        <w:rPr>
          <w:lang w:val="en-US"/>
        </w:rPr>
      </w:pPr>
      <w:r w:rsidRPr="002C1F67">
        <w:rPr>
          <w:lang w:val="en-US"/>
        </w:rPr>
        <w:t>Business as usual for operators of MV swichgear if they do not handle SF6</w:t>
      </w:r>
    </w:p>
    <w:p w:rsidR="002C1F67" w:rsidRDefault="002C1F67" w:rsidP="00B72DCC">
      <w:pPr>
        <w:pStyle w:val="Prrafodelista"/>
        <w:numPr>
          <w:ilvl w:val="2"/>
          <w:numId w:val="6"/>
        </w:numPr>
        <w:jc w:val="both"/>
        <w:rPr>
          <w:lang w:val="en-US"/>
        </w:rPr>
      </w:pPr>
      <w:r w:rsidRPr="002C1F67">
        <w:rPr>
          <w:lang w:val="en-US"/>
        </w:rPr>
        <w:t>HV, Necessity to hold a certificate is extended to all SF6 handling operations</w:t>
      </w:r>
    </w:p>
    <w:p w:rsidR="00066F7B" w:rsidRDefault="00066F7B" w:rsidP="00066F7B">
      <w:pPr>
        <w:pStyle w:val="Prrafodelista"/>
        <w:numPr>
          <w:ilvl w:val="0"/>
          <w:numId w:val="6"/>
        </w:numPr>
        <w:jc w:val="both"/>
        <w:rPr>
          <w:lang w:val="es-ES"/>
        </w:rPr>
      </w:pPr>
      <w:r>
        <w:rPr>
          <w:lang w:val="es-ES"/>
        </w:rPr>
        <w:t>Otros elementos legislativos relacionados:</w:t>
      </w:r>
    </w:p>
    <w:p w:rsidR="00066F7B" w:rsidRPr="00066F7B" w:rsidRDefault="00066F7B" w:rsidP="00066F7B">
      <w:pPr>
        <w:pStyle w:val="Prrafodelista"/>
        <w:numPr>
          <w:ilvl w:val="1"/>
          <w:numId w:val="6"/>
        </w:numPr>
        <w:jc w:val="both"/>
        <w:rPr>
          <w:lang w:val="es-ES"/>
        </w:rPr>
      </w:pPr>
      <w:r w:rsidRPr="00066F7B">
        <w:rPr>
          <w:lang w:val="es-ES"/>
        </w:rPr>
        <w:t>Reglamento de Ejecución 1191/2014 de la Comisión, de 30 de octubre de 2014, por el que se determinan el formato y los medios de transmisión de los informes a que se refiere el artículo 19 del Reglamento (UE) no 517/2014 del Parlamento Europeo y del Consejo, sobre los gases fluorados de efecto invernadero.</w:t>
      </w:r>
    </w:p>
    <w:p w:rsidR="00066F7B" w:rsidRPr="00066F7B" w:rsidRDefault="00066F7B" w:rsidP="00066F7B">
      <w:pPr>
        <w:pStyle w:val="Prrafodelista"/>
        <w:numPr>
          <w:ilvl w:val="1"/>
          <w:numId w:val="6"/>
        </w:numPr>
        <w:jc w:val="both"/>
        <w:rPr>
          <w:lang w:val="es-ES"/>
        </w:rPr>
      </w:pPr>
      <w:r w:rsidRPr="00066F7B">
        <w:rPr>
          <w:lang w:val="es-ES"/>
        </w:rPr>
        <w:lastRenderedPageBreak/>
        <w:t>Decisión de Ejecución de la Comisión, de 31 de octubre de 2014, por la que se determinan, de conformidad con el Reglamento (UE) no 517/2014 del Parlamento Europeo y del Consejo, sobre los gases fluorados de efecto invernadero, los valores de referencia para el período comprendido entre el 1 de enero de 2015 y el 31 de diciembre de 2017 de cada productor o importador que haya notificado la comercialización de hidrofluorocarburos con arreglo al Reglamento (CE) no 842/2006 del Parlamento Europeo y del Consejo.</w:t>
      </w:r>
    </w:p>
    <w:p w:rsidR="0025194E" w:rsidRPr="00CF775E" w:rsidRDefault="0025194E" w:rsidP="00D465DB">
      <w:pPr>
        <w:pStyle w:val="Ttulo2"/>
        <w:tabs>
          <w:tab w:val="clear" w:pos="0"/>
          <w:tab w:val="num" w:pos="851"/>
        </w:tabs>
        <w:ind w:left="851" w:hanging="851"/>
        <w:jc w:val="both"/>
        <w:rPr>
          <w:b w:val="0"/>
          <w:i w:val="0"/>
          <w:lang w:val="en-US"/>
        </w:rPr>
      </w:pPr>
      <w:bookmarkStart w:id="29" w:name="_Toc404614857"/>
      <w:r w:rsidRPr="00CF775E">
        <w:rPr>
          <w:b w:val="0"/>
          <w:i w:val="0"/>
          <w:lang w:val="en-US"/>
        </w:rPr>
        <w:t>Noise: emission in the environment by equi</w:t>
      </w:r>
      <w:r w:rsidR="000008DF" w:rsidRPr="00CF775E">
        <w:rPr>
          <w:b w:val="0"/>
          <w:i w:val="0"/>
          <w:lang w:val="en-US"/>
        </w:rPr>
        <w:t>p</w:t>
      </w:r>
      <w:r w:rsidRPr="00CF775E">
        <w:rPr>
          <w:b w:val="0"/>
          <w:i w:val="0"/>
          <w:lang w:val="en-US"/>
        </w:rPr>
        <w:t>ment for use outdoors</w:t>
      </w:r>
      <w:bookmarkEnd w:id="29"/>
    </w:p>
    <w:p w:rsidR="00C812D9" w:rsidRPr="00402823" w:rsidRDefault="00C812D9" w:rsidP="00614F18">
      <w:pPr>
        <w:pStyle w:val="Prrafodelista"/>
        <w:numPr>
          <w:ilvl w:val="0"/>
          <w:numId w:val="6"/>
        </w:numPr>
        <w:jc w:val="both"/>
        <w:rPr>
          <w:lang w:val="es-ES"/>
        </w:rPr>
      </w:pPr>
      <w:r w:rsidRPr="00402823">
        <w:rPr>
          <w:lang w:val="es-ES"/>
        </w:rPr>
        <w:t>Directiva 2000/14/EC: Comentar que fue modificada por la Directiva 88/2005 CE y transpuesta RD 212/2002 y modificada por RD 5241/2006.</w:t>
      </w:r>
    </w:p>
    <w:p w:rsidR="00C812D9" w:rsidRPr="00402823" w:rsidRDefault="00C812D9" w:rsidP="00614F18">
      <w:pPr>
        <w:pStyle w:val="Prrafodelista"/>
        <w:numPr>
          <w:ilvl w:val="0"/>
          <w:numId w:val="6"/>
        </w:numPr>
        <w:jc w:val="both"/>
        <w:rPr>
          <w:lang w:val="es-ES"/>
        </w:rPr>
      </w:pPr>
      <w:r w:rsidRPr="00402823">
        <w:rPr>
          <w:lang w:val="es-ES"/>
        </w:rPr>
        <w:t>La Directiva 2002/49/CE transpuesta en Ley 37/2003 desarrollada por RD 1513/2005 y el RD 1367/2007 y modificada por el RD 1038/2012.</w:t>
      </w:r>
    </w:p>
    <w:p w:rsidR="00C812D9" w:rsidRPr="00402823" w:rsidRDefault="00C812D9" w:rsidP="00614F18">
      <w:pPr>
        <w:pStyle w:val="Prrafodelista"/>
        <w:numPr>
          <w:ilvl w:val="0"/>
          <w:numId w:val="6"/>
        </w:numPr>
        <w:jc w:val="both"/>
        <w:rPr>
          <w:lang w:val="es-ES"/>
        </w:rPr>
      </w:pPr>
      <w:r w:rsidRPr="00402823">
        <w:rPr>
          <w:lang w:val="es-ES"/>
        </w:rPr>
        <w:t>Informe de fecha 18.04.2012 relativo a la aplicación de la Directiva sobre ruido ambiental 2002/49/CE.</w:t>
      </w:r>
    </w:p>
    <w:p w:rsidR="00C812D9" w:rsidRDefault="00C812D9" w:rsidP="00614F18">
      <w:pPr>
        <w:pStyle w:val="Prrafodelista"/>
        <w:numPr>
          <w:ilvl w:val="0"/>
          <w:numId w:val="6"/>
        </w:numPr>
        <w:jc w:val="both"/>
        <w:rPr>
          <w:lang w:val="es-ES"/>
        </w:rPr>
      </w:pPr>
      <w:r w:rsidRPr="00402823">
        <w:rPr>
          <w:lang w:val="es-ES"/>
        </w:rPr>
        <w:t>Dictamen del Comité de las Regiones C113/40. El camino a seguir es la Directiva 2002/49/CE pero se centra en el ruido de automóviles, camiones, etc..</w:t>
      </w:r>
    </w:p>
    <w:p w:rsidR="00773A4F" w:rsidRDefault="00773A4F" w:rsidP="00614F18">
      <w:pPr>
        <w:pStyle w:val="Prrafodelista"/>
        <w:numPr>
          <w:ilvl w:val="0"/>
          <w:numId w:val="6"/>
        </w:numPr>
        <w:jc w:val="both"/>
        <w:rPr>
          <w:lang w:val="es-ES"/>
        </w:rPr>
      </w:pPr>
    </w:p>
    <w:p w:rsidR="00773A4F" w:rsidRDefault="00773A4F" w:rsidP="00614F18">
      <w:pPr>
        <w:pStyle w:val="Prrafodelista"/>
        <w:numPr>
          <w:ilvl w:val="0"/>
          <w:numId w:val="6"/>
        </w:numPr>
        <w:jc w:val="both"/>
        <w:rPr>
          <w:color w:val="FF0000"/>
          <w:lang w:val="es-ES"/>
        </w:rPr>
      </w:pPr>
      <w:r w:rsidRPr="00773A4F">
        <w:rPr>
          <w:color w:val="FF0000"/>
          <w:lang w:val="es-ES"/>
        </w:rPr>
        <w:t>EN PRINCIPIO NO AFECTA A NUESTROS PRODUCTOS</w:t>
      </w:r>
      <w:r>
        <w:rPr>
          <w:color w:val="FF0000"/>
          <w:lang w:val="es-ES"/>
        </w:rPr>
        <w:t xml:space="preserve"> – </w:t>
      </w:r>
      <w:r w:rsidRPr="00773A4F">
        <w:rPr>
          <w:b/>
          <w:color w:val="FF0000"/>
          <w:lang w:val="es-ES"/>
        </w:rPr>
        <w:t>CONFIRMAR</w:t>
      </w:r>
      <w:r>
        <w:rPr>
          <w:color w:val="FF0000"/>
          <w:lang w:val="es-ES"/>
        </w:rPr>
        <w:t>!</w:t>
      </w:r>
    </w:p>
    <w:p w:rsidR="00FE477B" w:rsidRPr="00773A4F" w:rsidRDefault="00FE477B" w:rsidP="00614F18">
      <w:pPr>
        <w:pStyle w:val="Prrafodelista"/>
        <w:numPr>
          <w:ilvl w:val="0"/>
          <w:numId w:val="6"/>
        </w:numPr>
        <w:jc w:val="both"/>
        <w:rPr>
          <w:color w:val="FF0000"/>
          <w:lang w:val="es-ES"/>
        </w:rPr>
      </w:pPr>
      <w:r>
        <w:rPr>
          <w:color w:val="FF0000"/>
          <w:lang w:val="es-ES"/>
        </w:rPr>
        <w:t>MUCHA CA</w:t>
      </w:r>
      <w:r w:rsidR="005A2445">
        <w:rPr>
          <w:color w:val="FF0000"/>
          <w:lang w:val="es-ES"/>
        </w:rPr>
        <w:t>SUISTICA – COMPETENCIA MUNICIPA</w:t>
      </w:r>
      <w:r w:rsidR="009F55DB">
        <w:rPr>
          <w:color w:val="FF0000"/>
          <w:lang w:val="es-ES"/>
        </w:rPr>
        <w:t>L</w:t>
      </w:r>
    </w:p>
    <w:p w:rsidR="00535E00" w:rsidRDefault="00535E00" w:rsidP="00535E00">
      <w:pPr>
        <w:jc w:val="both"/>
        <w:rPr>
          <w:lang w:val="es-ES"/>
        </w:rPr>
      </w:pPr>
    </w:p>
    <w:p w:rsidR="00535E00" w:rsidRDefault="00535E00" w:rsidP="00D465DB">
      <w:pPr>
        <w:pStyle w:val="Ttulo2"/>
        <w:tabs>
          <w:tab w:val="clear" w:pos="0"/>
          <w:tab w:val="num" w:pos="851"/>
        </w:tabs>
        <w:ind w:left="851" w:hanging="851"/>
        <w:jc w:val="both"/>
        <w:rPr>
          <w:b w:val="0"/>
          <w:i w:val="0"/>
          <w:lang w:val="es-ES"/>
        </w:rPr>
      </w:pPr>
      <w:bookmarkStart w:id="30" w:name="_Toc404614858"/>
      <w:r w:rsidRPr="00D465DB">
        <w:rPr>
          <w:b w:val="0"/>
          <w:i w:val="0"/>
          <w:lang w:val="es-ES"/>
        </w:rPr>
        <w:t>Waste (Directiva 2008/98/EC)</w:t>
      </w:r>
      <w:bookmarkEnd w:id="30"/>
    </w:p>
    <w:p w:rsidR="00DA503B" w:rsidRDefault="00F5022D" w:rsidP="00DA503B">
      <w:pPr>
        <w:rPr>
          <w:lang w:val="es-ES"/>
        </w:rPr>
      </w:pPr>
      <w:hyperlink r:id="rId25" w:history="1">
        <w:r w:rsidR="00DA503B" w:rsidRPr="00052207">
          <w:rPr>
            <w:rStyle w:val="Hipervnculo"/>
            <w:lang w:val="es-ES"/>
          </w:rPr>
          <w:t>http://europa.eu/legislation_summaries/environment/waste_management/ev0010_en.htm</w:t>
        </w:r>
      </w:hyperlink>
    </w:p>
    <w:p w:rsidR="00DA503B" w:rsidRPr="00DA503B" w:rsidRDefault="00DA503B" w:rsidP="00DA503B">
      <w:pPr>
        <w:rPr>
          <w:lang w:val="es-ES"/>
        </w:rPr>
      </w:pPr>
    </w:p>
    <w:p w:rsidR="00535E00" w:rsidRDefault="00535E00" w:rsidP="00614F18">
      <w:pPr>
        <w:pStyle w:val="Prrafodelista"/>
        <w:numPr>
          <w:ilvl w:val="0"/>
          <w:numId w:val="8"/>
        </w:numPr>
        <w:rPr>
          <w:lang w:val="es-ES"/>
        </w:rPr>
      </w:pPr>
      <w:r w:rsidRPr="00535E00">
        <w:rPr>
          <w:lang w:val="es-ES"/>
        </w:rPr>
        <w:t>En vigor desde diciembre de 2008</w:t>
      </w:r>
    </w:p>
    <w:p w:rsidR="00535E00" w:rsidRPr="00535E00" w:rsidRDefault="00535E00" w:rsidP="00614F18">
      <w:pPr>
        <w:pStyle w:val="Prrafodelista"/>
        <w:numPr>
          <w:ilvl w:val="1"/>
          <w:numId w:val="8"/>
        </w:numPr>
        <w:rPr>
          <w:lang w:val="es-ES"/>
        </w:rPr>
      </w:pPr>
      <w:r>
        <w:rPr>
          <w:lang w:val="es-ES"/>
        </w:rPr>
        <w:t>Entry into force: 20 meses después</w:t>
      </w:r>
    </w:p>
    <w:p w:rsidR="00535E00" w:rsidRPr="00535E00" w:rsidRDefault="00535E00" w:rsidP="00614F18">
      <w:pPr>
        <w:pStyle w:val="Prrafodelista"/>
        <w:numPr>
          <w:ilvl w:val="0"/>
          <w:numId w:val="8"/>
        </w:numPr>
        <w:rPr>
          <w:lang w:val="es-ES"/>
        </w:rPr>
      </w:pPr>
      <w:r w:rsidRPr="00535E00">
        <w:rPr>
          <w:lang w:val="es-ES"/>
        </w:rPr>
        <w:lastRenderedPageBreak/>
        <w:t xml:space="preserve">Se trata de una directiva </w:t>
      </w:r>
      <w:r>
        <w:rPr>
          <w:lang w:val="es-ES"/>
        </w:rPr>
        <w:t>marco que engloba las sigu</w:t>
      </w:r>
      <w:r w:rsidRPr="00535E00">
        <w:rPr>
          <w:lang w:val="es-ES"/>
        </w:rPr>
        <w:t>i</w:t>
      </w:r>
      <w:r>
        <w:rPr>
          <w:lang w:val="es-ES"/>
        </w:rPr>
        <w:t>e</w:t>
      </w:r>
      <w:r w:rsidRPr="00535E00">
        <w:rPr>
          <w:lang w:val="es-ES"/>
        </w:rPr>
        <w:t>ntes:</w:t>
      </w:r>
    </w:p>
    <w:p w:rsidR="00535E00" w:rsidRDefault="00535E00" w:rsidP="00614F18">
      <w:pPr>
        <w:pStyle w:val="Prrafodelista"/>
        <w:numPr>
          <w:ilvl w:val="1"/>
          <w:numId w:val="8"/>
        </w:numPr>
        <w:rPr>
          <w:lang w:val="es-ES"/>
        </w:rPr>
      </w:pPr>
      <w:r>
        <w:rPr>
          <w:lang w:val="es-ES"/>
        </w:rPr>
        <w:t>Hazardous waste: Council directive 12-12-91</w:t>
      </w:r>
    </w:p>
    <w:p w:rsidR="00535E00" w:rsidRDefault="00535E00" w:rsidP="00614F18">
      <w:pPr>
        <w:pStyle w:val="Prrafodelista"/>
        <w:numPr>
          <w:ilvl w:val="1"/>
          <w:numId w:val="8"/>
        </w:numPr>
        <w:rPr>
          <w:lang w:val="es-ES"/>
        </w:rPr>
      </w:pPr>
      <w:r>
        <w:rPr>
          <w:lang w:val="es-ES"/>
        </w:rPr>
        <w:t>List of wastes: Decision 2000/532/ec</w:t>
      </w:r>
    </w:p>
    <w:p w:rsidR="00535E00" w:rsidRDefault="00535E00" w:rsidP="00614F18">
      <w:pPr>
        <w:pStyle w:val="Prrafodelista"/>
        <w:numPr>
          <w:ilvl w:val="1"/>
          <w:numId w:val="8"/>
        </w:numPr>
        <w:rPr>
          <w:lang w:val="es-ES"/>
        </w:rPr>
      </w:pPr>
      <w:r>
        <w:rPr>
          <w:lang w:val="es-ES"/>
        </w:rPr>
        <w:t>Shipment of go</w:t>
      </w:r>
      <w:r w:rsidR="000008DF">
        <w:rPr>
          <w:lang w:val="es-ES"/>
        </w:rPr>
        <w:t>od</w:t>
      </w:r>
      <w:r>
        <w:rPr>
          <w:lang w:val="es-ES"/>
        </w:rPr>
        <w:t>s: Regulation 1013/2006</w:t>
      </w:r>
    </w:p>
    <w:p w:rsidR="00535E00" w:rsidRDefault="00535E00" w:rsidP="00614F18">
      <w:pPr>
        <w:pStyle w:val="Prrafodelista"/>
        <w:numPr>
          <w:ilvl w:val="0"/>
          <w:numId w:val="8"/>
        </w:numPr>
        <w:rPr>
          <w:lang w:val="es-ES"/>
        </w:rPr>
      </w:pPr>
      <w:r>
        <w:rPr>
          <w:lang w:val="es-ES"/>
        </w:rPr>
        <w:t>El informe de implantación dice que ha sido algo “pobre”, en particular las dos siguientes:</w:t>
      </w:r>
    </w:p>
    <w:p w:rsidR="00535E00" w:rsidRDefault="00535E00" w:rsidP="00614F18">
      <w:pPr>
        <w:pStyle w:val="Prrafodelista"/>
        <w:numPr>
          <w:ilvl w:val="1"/>
          <w:numId w:val="8"/>
        </w:numPr>
        <w:rPr>
          <w:lang w:val="es-ES"/>
        </w:rPr>
      </w:pPr>
      <w:r>
        <w:rPr>
          <w:lang w:val="es-ES"/>
        </w:rPr>
        <w:t>La directiva marco</w:t>
      </w:r>
    </w:p>
    <w:p w:rsidR="00535E00" w:rsidRDefault="00535E00" w:rsidP="00614F18">
      <w:pPr>
        <w:pStyle w:val="Prrafodelista"/>
        <w:numPr>
          <w:ilvl w:val="1"/>
          <w:numId w:val="8"/>
        </w:numPr>
        <w:rPr>
          <w:lang w:val="es-ES"/>
        </w:rPr>
      </w:pPr>
      <w:r>
        <w:rPr>
          <w:lang w:val="es-ES"/>
        </w:rPr>
        <w:t>Waste shipment regulation</w:t>
      </w:r>
    </w:p>
    <w:p w:rsidR="00535E00" w:rsidRDefault="00535E00" w:rsidP="00614F18">
      <w:pPr>
        <w:pStyle w:val="Prrafodelista"/>
        <w:numPr>
          <w:ilvl w:val="1"/>
          <w:numId w:val="8"/>
        </w:numPr>
        <w:rPr>
          <w:lang w:val="es-ES"/>
        </w:rPr>
      </w:pPr>
      <w:r>
        <w:rPr>
          <w:lang w:val="es-ES"/>
        </w:rPr>
        <w:t>Por lo que se propone la posible creación de una “EU waste implementation agency”</w:t>
      </w:r>
    </w:p>
    <w:p w:rsidR="00994641" w:rsidRDefault="00994641" w:rsidP="00784F74">
      <w:pPr>
        <w:rPr>
          <w:lang w:val="es-ES"/>
        </w:rPr>
      </w:pPr>
    </w:p>
    <w:p w:rsidR="00784F74" w:rsidRDefault="00994641" w:rsidP="00784F74">
      <w:pPr>
        <w:rPr>
          <w:lang w:val="es-ES"/>
        </w:rPr>
      </w:pPr>
      <w:r>
        <w:rPr>
          <w:lang w:val="es-ES"/>
        </w:rPr>
        <w:t>Actualmente está en revisión, y existe una propuesta de Julio de 2014, con las siguientes referencias:</w:t>
      </w:r>
    </w:p>
    <w:p w:rsidR="00994641" w:rsidRDefault="00994641" w:rsidP="00411495">
      <w:pPr>
        <w:pStyle w:val="Prrafodelista"/>
        <w:numPr>
          <w:ilvl w:val="0"/>
          <w:numId w:val="41"/>
        </w:numPr>
        <w:rPr>
          <w:lang w:val="es-ES"/>
        </w:rPr>
      </w:pPr>
      <w:r>
        <w:rPr>
          <w:lang w:val="es-ES"/>
        </w:rPr>
        <w:t>COM (2014) 397 final</w:t>
      </w:r>
    </w:p>
    <w:p w:rsidR="00994641" w:rsidRPr="00994641" w:rsidRDefault="00994641" w:rsidP="00411495">
      <w:pPr>
        <w:pStyle w:val="Prrafodelista"/>
        <w:numPr>
          <w:ilvl w:val="0"/>
          <w:numId w:val="41"/>
        </w:numPr>
        <w:rPr>
          <w:lang w:val="es-ES"/>
        </w:rPr>
      </w:pPr>
      <w:r>
        <w:rPr>
          <w:lang w:val="es-ES"/>
        </w:rPr>
        <w:t>2014 (0201) COD</w:t>
      </w:r>
    </w:p>
    <w:p w:rsidR="00CF5E66" w:rsidRPr="0094485C" w:rsidRDefault="0094485C" w:rsidP="00D465DB">
      <w:pPr>
        <w:pStyle w:val="Ttulo2"/>
        <w:tabs>
          <w:tab w:val="clear" w:pos="0"/>
          <w:tab w:val="num" w:pos="851"/>
        </w:tabs>
        <w:ind w:left="851" w:hanging="851"/>
        <w:jc w:val="both"/>
        <w:rPr>
          <w:b w:val="0"/>
          <w:i w:val="0"/>
          <w:lang w:val="en-US"/>
        </w:rPr>
      </w:pPr>
      <w:bookmarkStart w:id="31" w:name="_Toc404614859"/>
      <w:r w:rsidRPr="0094485C">
        <w:rPr>
          <w:b w:val="0"/>
          <w:i w:val="0"/>
          <w:lang w:val="en-US"/>
        </w:rPr>
        <w:t xml:space="preserve">EED - </w:t>
      </w:r>
      <w:r w:rsidR="00CF5E66" w:rsidRPr="0094485C">
        <w:rPr>
          <w:b w:val="0"/>
          <w:i w:val="0"/>
          <w:lang w:val="en-US"/>
        </w:rPr>
        <w:t>Energy efficiency directive</w:t>
      </w:r>
      <w:r w:rsidR="003458E7">
        <w:rPr>
          <w:b w:val="0"/>
          <w:i w:val="0"/>
          <w:lang w:val="en-US"/>
        </w:rPr>
        <w:t xml:space="preserve"> (2012/27/EU)</w:t>
      </w:r>
      <w:bookmarkEnd w:id="31"/>
    </w:p>
    <w:p w:rsidR="003458E7" w:rsidRDefault="003458E7" w:rsidP="00614F18">
      <w:pPr>
        <w:pStyle w:val="Prrafodelista"/>
        <w:numPr>
          <w:ilvl w:val="0"/>
          <w:numId w:val="10"/>
        </w:numPr>
        <w:jc w:val="both"/>
        <w:rPr>
          <w:lang w:val="es-ES"/>
        </w:rPr>
      </w:pPr>
      <w:r>
        <w:rPr>
          <w:lang w:val="es-ES"/>
        </w:rPr>
        <w:t>Directiva adoptada en Octubre de 2012 y publicada en Noviembre con la referencia 2012/27/EU</w:t>
      </w:r>
    </w:p>
    <w:p w:rsidR="00EE6589" w:rsidRDefault="00EE6589" w:rsidP="00614F18">
      <w:pPr>
        <w:pStyle w:val="Prrafodelista"/>
        <w:numPr>
          <w:ilvl w:val="1"/>
          <w:numId w:val="10"/>
        </w:numPr>
        <w:jc w:val="both"/>
        <w:rPr>
          <w:lang w:val="es-ES"/>
        </w:rPr>
      </w:pPr>
      <w:r>
        <w:rPr>
          <w:lang w:val="es-ES"/>
        </w:rPr>
        <w:t>Debe entenderse junto con el IEM (internal energy market package), que se consideran “complementary and mutually supportive”</w:t>
      </w:r>
    </w:p>
    <w:p w:rsidR="003458E7" w:rsidRDefault="003458E7" w:rsidP="00614F18">
      <w:pPr>
        <w:pStyle w:val="Prrafodelista"/>
        <w:numPr>
          <w:ilvl w:val="0"/>
          <w:numId w:val="10"/>
        </w:numPr>
        <w:jc w:val="both"/>
        <w:rPr>
          <w:lang w:val="es-ES"/>
        </w:rPr>
      </w:pPr>
      <w:r>
        <w:rPr>
          <w:lang w:val="es-ES"/>
        </w:rPr>
        <w:t>En la actualidad se encuentra bajo el EEDC (energy efficiency directive committee)</w:t>
      </w:r>
    </w:p>
    <w:p w:rsidR="003E4A3C" w:rsidRDefault="003E4A3C" w:rsidP="00614F18">
      <w:pPr>
        <w:pStyle w:val="Prrafodelista"/>
        <w:numPr>
          <w:ilvl w:val="1"/>
          <w:numId w:val="10"/>
        </w:numPr>
        <w:jc w:val="both"/>
        <w:rPr>
          <w:lang w:val="es-ES"/>
        </w:rPr>
      </w:pPr>
      <w:r>
        <w:rPr>
          <w:lang w:val="es-ES"/>
        </w:rPr>
        <w:t>En este estado la CE prepara una serie de documentos de guía para facilitar una implantación temprana de la directiva</w:t>
      </w:r>
    </w:p>
    <w:p w:rsidR="003E4A3C" w:rsidRDefault="003E4A3C" w:rsidP="00614F18">
      <w:pPr>
        <w:pStyle w:val="Prrafodelista"/>
        <w:numPr>
          <w:ilvl w:val="0"/>
          <w:numId w:val="10"/>
        </w:numPr>
        <w:jc w:val="both"/>
        <w:rPr>
          <w:lang w:val="es-ES"/>
        </w:rPr>
      </w:pPr>
      <w:r>
        <w:rPr>
          <w:lang w:val="es-ES"/>
        </w:rPr>
        <w:t>Los estados miembros deberán:</w:t>
      </w:r>
    </w:p>
    <w:p w:rsidR="003E4A3C" w:rsidRDefault="005F7A80" w:rsidP="00614F18">
      <w:pPr>
        <w:pStyle w:val="Prrafodelista"/>
        <w:numPr>
          <w:ilvl w:val="1"/>
          <w:numId w:val="10"/>
        </w:numPr>
        <w:jc w:val="both"/>
        <w:rPr>
          <w:lang w:val="es-ES"/>
        </w:rPr>
      </w:pPr>
      <w:r>
        <w:rPr>
          <w:lang w:val="es-ES"/>
        </w:rPr>
        <w:t>Antes de Abril de 2013: Establecer objetivos no-vinculantes de eficiencia para 2020</w:t>
      </w:r>
    </w:p>
    <w:p w:rsidR="005F7A80" w:rsidRDefault="005F7A80" w:rsidP="00614F18">
      <w:pPr>
        <w:pStyle w:val="Prrafodelista"/>
        <w:numPr>
          <w:ilvl w:val="1"/>
          <w:numId w:val="10"/>
        </w:numPr>
        <w:jc w:val="both"/>
        <w:rPr>
          <w:lang w:val="es-ES"/>
        </w:rPr>
      </w:pPr>
      <w:r>
        <w:rPr>
          <w:lang w:val="es-ES"/>
        </w:rPr>
        <w:t>En 2 años: implementar la EED en la legislación nacional</w:t>
      </w:r>
    </w:p>
    <w:p w:rsidR="005F7A80" w:rsidRDefault="005F7A80" w:rsidP="00614F18">
      <w:pPr>
        <w:pStyle w:val="Prrafodelista"/>
        <w:numPr>
          <w:ilvl w:val="0"/>
          <w:numId w:val="10"/>
        </w:numPr>
        <w:jc w:val="both"/>
        <w:rPr>
          <w:lang w:val="es-ES"/>
        </w:rPr>
      </w:pPr>
      <w:r>
        <w:rPr>
          <w:lang w:val="es-ES"/>
        </w:rPr>
        <w:t>En la primera mitad de 2014, la CE revisará el progreso de la directiva y analizará si es necesario tomar medidas adicionales para asegurar el compromiso de reducción del 20%</w:t>
      </w:r>
    </w:p>
    <w:p w:rsidR="005F7A80" w:rsidRDefault="005F7A80" w:rsidP="00614F18">
      <w:pPr>
        <w:pStyle w:val="Prrafodelista"/>
        <w:numPr>
          <w:ilvl w:val="0"/>
          <w:numId w:val="10"/>
        </w:numPr>
        <w:jc w:val="both"/>
        <w:rPr>
          <w:lang w:val="es-ES"/>
        </w:rPr>
      </w:pPr>
      <w:r>
        <w:rPr>
          <w:lang w:val="es-ES"/>
        </w:rPr>
        <w:t>La directiva se revisará en 2016</w:t>
      </w:r>
    </w:p>
    <w:p w:rsidR="002759EB" w:rsidRDefault="00871B90" w:rsidP="00614F18">
      <w:pPr>
        <w:pStyle w:val="Prrafodelista"/>
        <w:numPr>
          <w:ilvl w:val="0"/>
          <w:numId w:val="10"/>
        </w:numPr>
        <w:jc w:val="both"/>
        <w:rPr>
          <w:lang w:val="es-ES"/>
        </w:rPr>
      </w:pPr>
      <w:r>
        <w:rPr>
          <w:lang w:val="es-ES"/>
        </w:rPr>
        <w:lastRenderedPageBreak/>
        <w:t xml:space="preserve">La Directiva establece un </w:t>
      </w:r>
      <w:r w:rsidRPr="00E36152">
        <w:rPr>
          <w:color w:val="FF0000"/>
          <w:lang w:val="es-ES"/>
        </w:rPr>
        <w:t>marco común de promoción de la eficiencia</w:t>
      </w:r>
      <w:r>
        <w:rPr>
          <w:lang w:val="es-ES"/>
        </w:rPr>
        <w:t>, con el famoso objetivo del 20% de mejora para 2020</w:t>
      </w:r>
    </w:p>
    <w:p w:rsidR="00871B90" w:rsidRPr="00E36152" w:rsidRDefault="00871B90" w:rsidP="00614F18">
      <w:pPr>
        <w:pStyle w:val="Prrafodelista"/>
        <w:numPr>
          <w:ilvl w:val="1"/>
          <w:numId w:val="10"/>
        </w:numPr>
        <w:jc w:val="both"/>
        <w:rPr>
          <w:color w:val="FF0000"/>
          <w:lang w:val="es-ES"/>
        </w:rPr>
      </w:pPr>
      <w:r w:rsidRPr="00E36152">
        <w:rPr>
          <w:color w:val="FF0000"/>
          <w:lang w:val="es-ES"/>
        </w:rPr>
        <w:t>Cada estado miembro deberá fijar un objetivo de eficiencia</w:t>
      </w:r>
    </w:p>
    <w:p w:rsidR="00871B90" w:rsidRDefault="00871B90" w:rsidP="00614F18">
      <w:pPr>
        <w:pStyle w:val="Prrafodelista"/>
        <w:numPr>
          <w:ilvl w:val="1"/>
          <w:numId w:val="10"/>
        </w:numPr>
        <w:jc w:val="both"/>
        <w:rPr>
          <w:lang w:val="es-ES"/>
        </w:rPr>
      </w:pPr>
      <w:r>
        <w:rPr>
          <w:lang w:val="es-ES"/>
        </w:rPr>
        <w:t>Se establecen objetivos de mejora para “</w:t>
      </w:r>
      <w:r w:rsidRPr="00E36152">
        <w:rPr>
          <w:color w:val="FF0000"/>
          <w:lang w:val="es-ES"/>
        </w:rPr>
        <w:t>public buildings</w:t>
      </w:r>
      <w:r>
        <w:rPr>
          <w:lang w:val="es-ES"/>
        </w:rPr>
        <w:t>”</w:t>
      </w:r>
    </w:p>
    <w:p w:rsidR="00871B90" w:rsidRDefault="00871B90" w:rsidP="00614F18">
      <w:pPr>
        <w:pStyle w:val="Prrafodelista"/>
        <w:numPr>
          <w:ilvl w:val="1"/>
          <w:numId w:val="10"/>
        </w:numPr>
        <w:jc w:val="both"/>
        <w:rPr>
          <w:lang w:val="es-ES"/>
        </w:rPr>
      </w:pPr>
      <w:r>
        <w:rPr>
          <w:lang w:val="es-ES"/>
        </w:rPr>
        <w:t xml:space="preserve">Se solicita a los estados miembros que establezcan una estrategia para movilizar las inversiones de cara a la renovación de </w:t>
      </w:r>
      <w:r w:rsidRPr="00E36152">
        <w:rPr>
          <w:color w:val="FF0000"/>
          <w:lang w:val="es-ES"/>
        </w:rPr>
        <w:t>edificios residenciales y comerciales</w:t>
      </w:r>
    </w:p>
    <w:p w:rsidR="001F527D" w:rsidRDefault="001F527D" w:rsidP="00614F18">
      <w:pPr>
        <w:pStyle w:val="Prrafodelista"/>
        <w:numPr>
          <w:ilvl w:val="1"/>
          <w:numId w:val="10"/>
        </w:numPr>
        <w:jc w:val="both"/>
        <w:rPr>
          <w:lang w:val="es-ES"/>
        </w:rPr>
      </w:pPr>
      <w:r>
        <w:rPr>
          <w:lang w:val="es-ES"/>
        </w:rPr>
        <w:t xml:space="preserve">Se solicita a los estados miembros que establezcan un esquema obligatorio de </w:t>
      </w:r>
      <w:r w:rsidRPr="00E36152">
        <w:rPr>
          <w:color w:val="FF0000"/>
          <w:lang w:val="es-ES"/>
        </w:rPr>
        <w:t>mejora de eficiencia de distribuidores – vendedores de energía</w:t>
      </w:r>
    </w:p>
    <w:p w:rsidR="001F527D" w:rsidRPr="002759EB" w:rsidRDefault="001F527D" w:rsidP="00614F18">
      <w:pPr>
        <w:pStyle w:val="Prrafodelista"/>
        <w:numPr>
          <w:ilvl w:val="1"/>
          <w:numId w:val="10"/>
        </w:numPr>
        <w:jc w:val="both"/>
        <w:rPr>
          <w:lang w:val="es-ES"/>
        </w:rPr>
      </w:pPr>
      <w:r>
        <w:rPr>
          <w:lang w:val="es-ES"/>
        </w:rPr>
        <w:t xml:space="preserve">La directiva también incluye </w:t>
      </w:r>
      <w:r w:rsidRPr="00E36152">
        <w:rPr>
          <w:color w:val="FF0000"/>
          <w:lang w:val="es-ES"/>
        </w:rPr>
        <w:t>otras medidas</w:t>
      </w:r>
      <w:r>
        <w:rPr>
          <w:lang w:val="es-ES"/>
        </w:rPr>
        <w:t xml:space="preserve"> como auditorías energéticas, sistemas de gestión de energía, metering&amp;billing</w:t>
      </w:r>
      <w:r w:rsidR="00553075">
        <w:rPr>
          <w:lang w:val="es-ES"/>
        </w:rPr>
        <w:t xml:space="preserve">, servicios de eficiencia energética, </w:t>
      </w:r>
      <w:r w:rsidR="0027718B" w:rsidRPr="0027718B">
        <w:rPr>
          <w:lang w:val="es-ES"/>
        </w:rPr>
        <w:t>green public procurement</w:t>
      </w:r>
      <w:r w:rsidR="0027718B">
        <w:rPr>
          <w:lang w:val="es-ES"/>
        </w:rPr>
        <w:t xml:space="preserve">, </w:t>
      </w:r>
      <w:r w:rsidR="00553075">
        <w:rPr>
          <w:lang w:val="es-ES"/>
        </w:rPr>
        <w:t>etc …</w:t>
      </w:r>
    </w:p>
    <w:p w:rsidR="00CF5E66" w:rsidRDefault="00CF5E66" w:rsidP="00614F18">
      <w:pPr>
        <w:pStyle w:val="Prrafodelista"/>
        <w:numPr>
          <w:ilvl w:val="0"/>
          <w:numId w:val="10"/>
        </w:numPr>
        <w:jc w:val="both"/>
        <w:rPr>
          <w:lang w:val="en-US"/>
        </w:rPr>
      </w:pPr>
      <w:r>
        <w:rPr>
          <w:lang w:val="en-US"/>
        </w:rPr>
        <w:t>Recomendaciones de Orgalime:</w:t>
      </w:r>
    </w:p>
    <w:p w:rsidR="00CF5E66" w:rsidRDefault="00CF5E66" w:rsidP="00614F18">
      <w:pPr>
        <w:pStyle w:val="Prrafodelista"/>
        <w:numPr>
          <w:ilvl w:val="1"/>
          <w:numId w:val="10"/>
        </w:numPr>
        <w:jc w:val="both"/>
        <w:rPr>
          <w:lang w:val="es-ES"/>
        </w:rPr>
      </w:pPr>
      <w:r w:rsidRPr="005B65C6">
        <w:rPr>
          <w:lang w:val="es-ES"/>
        </w:rPr>
        <w:t>Se necesitan medidas de eficiencia concretas en vez de “binding targets”</w:t>
      </w:r>
      <w:r>
        <w:rPr>
          <w:lang w:val="es-ES"/>
        </w:rPr>
        <w:t>, o en su defecto habría que apostar por “acuerdos voluntarios”</w:t>
      </w:r>
    </w:p>
    <w:p w:rsidR="00CF5E66" w:rsidRDefault="00CF5E66" w:rsidP="00614F18">
      <w:pPr>
        <w:pStyle w:val="Prrafodelista"/>
        <w:numPr>
          <w:ilvl w:val="1"/>
          <w:numId w:val="10"/>
        </w:numPr>
        <w:jc w:val="both"/>
        <w:rPr>
          <w:lang w:val="es-ES"/>
        </w:rPr>
      </w:pPr>
      <w:r>
        <w:rPr>
          <w:lang w:val="es-ES"/>
        </w:rPr>
        <w:t>Se necesitan requisitos para la renovación de edificios</w:t>
      </w:r>
    </w:p>
    <w:p w:rsidR="00CF5E66" w:rsidRDefault="00CF5E66" w:rsidP="00614F18">
      <w:pPr>
        <w:pStyle w:val="Prrafodelista"/>
        <w:numPr>
          <w:ilvl w:val="1"/>
          <w:numId w:val="10"/>
        </w:numPr>
        <w:jc w:val="both"/>
        <w:rPr>
          <w:lang w:val="es-ES"/>
        </w:rPr>
      </w:pPr>
      <w:r>
        <w:rPr>
          <w:lang w:val="es-ES"/>
        </w:rPr>
        <w:t>Armonización de criterios de eficiencia energética a nivel de producto de cara a la compra pública</w:t>
      </w:r>
    </w:p>
    <w:p w:rsidR="00CF5E66" w:rsidRDefault="00CF5E66" w:rsidP="00614F18">
      <w:pPr>
        <w:pStyle w:val="Prrafodelista"/>
        <w:numPr>
          <w:ilvl w:val="1"/>
          <w:numId w:val="10"/>
        </w:numPr>
        <w:jc w:val="both"/>
        <w:rPr>
          <w:lang w:val="es-ES"/>
        </w:rPr>
      </w:pPr>
      <w:r>
        <w:rPr>
          <w:lang w:val="es-ES"/>
        </w:rPr>
        <w:t>Promoción del “smart metering”</w:t>
      </w:r>
    </w:p>
    <w:p w:rsidR="003D4AF4" w:rsidRPr="003D4AF4" w:rsidRDefault="00CF5E66" w:rsidP="00614F18">
      <w:pPr>
        <w:pStyle w:val="Prrafodelista"/>
        <w:numPr>
          <w:ilvl w:val="1"/>
          <w:numId w:val="10"/>
        </w:numPr>
        <w:jc w:val="both"/>
        <w:rPr>
          <w:lang w:val="es-ES"/>
        </w:rPr>
      </w:pPr>
      <w:r>
        <w:rPr>
          <w:lang w:val="es-ES"/>
        </w:rPr>
        <w:t>Promoción de “auditorías energéticas” para grandes empresas</w:t>
      </w:r>
    </w:p>
    <w:p w:rsidR="00CF5E66" w:rsidRDefault="00CF5E66" w:rsidP="00614F18">
      <w:pPr>
        <w:pStyle w:val="Prrafodelista"/>
        <w:numPr>
          <w:ilvl w:val="1"/>
          <w:numId w:val="10"/>
        </w:numPr>
        <w:jc w:val="both"/>
        <w:rPr>
          <w:lang w:val="es-ES"/>
        </w:rPr>
      </w:pPr>
      <w:r>
        <w:rPr>
          <w:lang w:val="es-ES"/>
        </w:rPr>
        <w:t>Promoción de los programas de “demand response”</w:t>
      </w:r>
    </w:p>
    <w:p w:rsidR="00CF5E66" w:rsidRDefault="00CF5E66" w:rsidP="00614F18">
      <w:pPr>
        <w:pStyle w:val="Prrafodelista"/>
        <w:numPr>
          <w:ilvl w:val="1"/>
          <w:numId w:val="10"/>
        </w:numPr>
        <w:jc w:val="both"/>
        <w:rPr>
          <w:lang w:val="es-ES"/>
        </w:rPr>
      </w:pPr>
      <w:r>
        <w:rPr>
          <w:lang w:val="es-ES"/>
        </w:rPr>
        <w:t>“opt-out clause” para determinados casos: “small actors”</w:t>
      </w:r>
    </w:p>
    <w:p w:rsidR="003D4AF4" w:rsidRDefault="003D4AF4" w:rsidP="00614F18">
      <w:pPr>
        <w:pStyle w:val="Prrafodelista"/>
        <w:numPr>
          <w:ilvl w:val="0"/>
          <w:numId w:val="10"/>
        </w:numPr>
        <w:jc w:val="both"/>
        <w:rPr>
          <w:lang w:val="es-ES"/>
        </w:rPr>
      </w:pPr>
      <w:r>
        <w:rPr>
          <w:lang w:val="es-ES"/>
        </w:rPr>
        <w:t>En nuestro caso, el artículo más relevante es el 15 (dentro del capítulo III)</w:t>
      </w:r>
      <w:r w:rsidR="00780361">
        <w:rPr>
          <w:lang w:val="es-ES"/>
        </w:rPr>
        <w:t>, titulado “Transformación, transporte y distribución de energía”</w:t>
      </w:r>
    </w:p>
    <w:p w:rsidR="007F1CC9" w:rsidRDefault="007F1CC9" w:rsidP="00614F18">
      <w:pPr>
        <w:pStyle w:val="Prrafodelista"/>
        <w:numPr>
          <w:ilvl w:val="0"/>
          <w:numId w:val="10"/>
        </w:numPr>
        <w:jc w:val="both"/>
        <w:rPr>
          <w:lang w:val="es-ES"/>
        </w:rPr>
      </w:pPr>
      <w:r>
        <w:rPr>
          <w:lang w:val="es-ES"/>
        </w:rPr>
        <w:t>Además del artículo 15, hay otras partes de la directiva que, aunque sea lateralmente, hacen referencia a nuestro negocio:</w:t>
      </w:r>
    </w:p>
    <w:p w:rsidR="007F1CC9" w:rsidRDefault="007F1CC9" w:rsidP="00614F18">
      <w:pPr>
        <w:pStyle w:val="Prrafodelista"/>
        <w:numPr>
          <w:ilvl w:val="1"/>
          <w:numId w:val="10"/>
        </w:numPr>
        <w:jc w:val="both"/>
        <w:rPr>
          <w:lang w:val="es-ES"/>
        </w:rPr>
      </w:pPr>
      <w:r>
        <w:rPr>
          <w:lang w:val="es-ES"/>
        </w:rPr>
        <w:t>Capítulo II</w:t>
      </w:r>
    </w:p>
    <w:p w:rsidR="007F1CC9" w:rsidRDefault="007F1CC9" w:rsidP="00614F18">
      <w:pPr>
        <w:pStyle w:val="Prrafodelista"/>
        <w:numPr>
          <w:ilvl w:val="2"/>
          <w:numId w:val="10"/>
        </w:numPr>
        <w:jc w:val="both"/>
        <w:rPr>
          <w:lang w:val="es-ES"/>
        </w:rPr>
      </w:pPr>
      <w:r>
        <w:rPr>
          <w:lang w:val="es-ES"/>
        </w:rPr>
        <w:t>Artículo 6 – compra pública</w:t>
      </w:r>
    </w:p>
    <w:p w:rsidR="007F1CC9" w:rsidRDefault="007F1CC9" w:rsidP="00614F18">
      <w:pPr>
        <w:pStyle w:val="Prrafodelista"/>
        <w:numPr>
          <w:ilvl w:val="2"/>
          <w:numId w:val="10"/>
        </w:numPr>
        <w:jc w:val="both"/>
        <w:rPr>
          <w:lang w:val="es-ES"/>
        </w:rPr>
      </w:pPr>
      <w:r>
        <w:rPr>
          <w:lang w:val="es-ES"/>
        </w:rPr>
        <w:t>Artículo 8 – gestión de la energía</w:t>
      </w:r>
    </w:p>
    <w:p w:rsidR="007F1CC9" w:rsidRDefault="007F1CC9" w:rsidP="00614F18">
      <w:pPr>
        <w:pStyle w:val="Prrafodelista"/>
        <w:numPr>
          <w:ilvl w:val="2"/>
          <w:numId w:val="10"/>
        </w:numPr>
        <w:jc w:val="both"/>
        <w:rPr>
          <w:lang w:val="es-ES"/>
        </w:rPr>
      </w:pPr>
      <w:r>
        <w:rPr>
          <w:lang w:val="es-ES"/>
        </w:rPr>
        <w:lastRenderedPageBreak/>
        <w:t>Artículo 9 - contadores</w:t>
      </w:r>
    </w:p>
    <w:p w:rsidR="007F1CC9" w:rsidRDefault="007F1CC9" w:rsidP="00614F18">
      <w:pPr>
        <w:pStyle w:val="Prrafodelista"/>
        <w:numPr>
          <w:ilvl w:val="1"/>
          <w:numId w:val="10"/>
        </w:numPr>
        <w:jc w:val="both"/>
        <w:rPr>
          <w:lang w:val="es-ES"/>
        </w:rPr>
      </w:pPr>
      <w:r>
        <w:rPr>
          <w:lang w:val="es-ES"/>
        </w:rPr>
        <w:t>Capítulo IV, artículo 18 – servicios energéticos</w:t>
      </w:r>
    </w:p>
    <w:p w:rsidR="00DC21A9" w:rsidRDefault="007F1CC9" w:rsidP="00614F18">
      <w:pPr>
        <w:pStyle w:val="Prrafodelista"/>
        <w:numPr>
          <w:ilvl w:val="1"/>
          <w:numId w:val="10"/>
        </w:numPr>
        <w:jc w:val="both"/>
        <w:rPr>
          <w:lang w:val="es-ES"/>
        </w:rPr>
      </w:pPr>
      <w:r>
        <w:rPr>
          <w:lang w:val="es-ES"/>
        </w:rPr>
        <w:t>Anexo</w:t>
      </w:r>
      <w:r w:rsidR="00DC21A9">
        <w:rPr>
          <w:lang w:val="es-ES"/>
        </w:rPr>
        <w:t>s</w:t>
      </w:r>
    </w:p>
    <w:p w:rsidR="00DC21A9" w:rsidRDefault="00DC21A9" w:rsidP="00614F18">
      <w:pPr>
        <w:pStyle w:val="Prrafodelista"/>
        <w:numPr>
          <w:ilvl w:val="2"/>
          <w:numId w:val="10"/>
        </w:numPr>
        <w:jc w:val="both"/>
        <w:rPr>
          <w:lang w:val="es-ES"/>
        </w:rPr>
      </w:pPr>
      <w:r>
        <w:rPr>
          <w:lang w:val="es-ES"/>
        </w:rPr>
        <w:t>XI – criterios de eficiencia para la regulaciónde la red</w:t>
      </w:r>
    </w:p>
    <w:p w:rsidR="007F1CC9" w:rsidRDefault="007F1CC9" w:rsidP="00614F18">
      <w:pPr>
        <w:pStyle w:val="Prrafodelista"/>
        <w:numPr>
          <w:ilvl w:val="2"/>
          <w:numId w:val="10"/>
        </w:numPr>
        <w:jc w:val="both"/>
        <w:rPr>
          <w:lang w:val="es-ES"/>
        </w:rPr>
      </w:pPr>
      <w:r>
        <w:rPr>
          <w:lang w:val="es-ES"/>
        </w:rPr>
        <w:t>XII – requisitos de eficiencia para gestores de redes de transporte y distribución</w:t>
      </w:r>
    </w:p>
    <w:p w:rsidR="00204BE0" w:rsidRDefault="00204BE0" w:rsidP="00204BE0">
      <w:pPr>
        <w:jc w:val="both"/>
        <w:rPr>
          <w:lang w:val="es-ES"/>
        </w:rPr>
      </w:pPr>
    </w:p>
    <w:p w:rsidR="00732191" w:rsidRDefault="00A26F08" w:rsidP="00732191">
      <w:pPr>
        <w:pStyle w:val="Ttulo3"/>
        <w:rPr>
          <w:lang w:val="es-ES"/>
        </w:rPr>
      </w:pPr>
      <w:bookmarkStart w:id="32" w:name="_Toc292121306"/>
      <w:bookmarkStart w:id="33" w:name="_Toc292702269"/>
      <w:r>
        <w:rPr>
          <w:lang w:val="es-ES"/>
        </w:rPr>
        <w:t>Novedades Noviembre</w:t>
      </w:r>
      <w:r w:rsidR="00732191">
        <w:rPr>
          <w:lang w:val="es-ES"/>
        </w:rPr>
        <w:t>’2014</w:t>
      </w:r>
    </w:p>
    <w:p w:rsidR="00732191" w:rsidRDefault="00732191" w:rsidP="00732191">
      <w:pPr>
        <w:pStyle w:val="Prrafodelista"/>
        <w:numPr>
          <w:ilvl w:val="0"/>
          <w:numId w:val="10"/>
        </w:numPr>
        <w:jc w:val="both"/>
        <w:rPr>
          <w:lang w:val="es-ES"/>
        </w:rPr>
      </w:pPr>
      <w:r>
        <w:rPr>
          <w:lang w:val="es-ES"/>
        </w:rPr>
        <w:t>Cada 3 años desde abril de 2014, los EM están obligados a enviar a la comisión sus “planes de acción de eficiencia energética”, en sus siglas en inglés NEEAP, que se publicarán en la página web de la comisión.</w:t>
      </w:r>
    </w:p>
    <w:p w:rsidR="00290A95" w:rsidRDefault="00290A95" w:rsidP="00732191">
      <w:pPr>
        <w:pStyle w:val="Prrafodelista"/>
        <w:numPr>
          <w:ilvl w:val="0"/>
          <w:numId w:val="10"/>
        </w:numPr>
        <w:jc w:val="both"/>
        <w:rPr>
          <w:lang w:val="es-ES"/>
        </w:rPr>
      </w:pPr>
      <w:r>
        <w:rPr>
          <w:lang w:val="es-ES"/>
        </w:rPr>
        <w:t>Para 2014 están previstas:</w:t>
      </w:r>
    </w:p>
    <w:p w:rsidR="00290A95" w:rsidRDefault="00290A95" w:rsidP="00290A95">
      <w:pPr>
        <w:pStyle w:val="Prrafodelista"/>
        <w:numPr>
          <w:ilvl w:val="1"/>
          <w:numId w:val="10"/>
        </w:numPr>
        <w:jc w:val="both"/>
        <w:rPr>
          <w:lang w:val="es-ES"/>
        </w:rPr>
      </w:pPr>
      <w:r>
        <w:rPr>
          <w:lang w:val="es-ES"/>
        </w:rPr>
        <w:t>Revisión del estado de los objetivos de eficiencia para 2020</w:t>
      </w:r>
    </w:p>
    <w:p w:rsidR="00290A95" w:rsidRDefault="00290A95" w:rsidP="00290A95">
      <w:pPr>
        <w:pStyle w:val="Prrafodelista"/>
        <w:numPr>
          <w:ilvl w:val="1"/>
          <w:numId w:val="10"/>
        </w:numPr>
        <w:jc w:val="both"/>
        <w:rPr>
          <w:lang w:val="es-ES"/>
        </w:rPr>
      </w:pPr>
      <w:r>
        <w:rPr>
          <w:lang w:val="es-ES"/>
        </w:rPr>
        <w:t>Revisión de la directiva</w:t>
      </w:r>
    </w:p>
    <w:p w:rsidR="00A26F08" w:rsidRDefault="00A26F08" w:rsidP="00A26F08">
      <w:pPr>
        <w:pStyle w:val="Prrafodelista"/>
        <w:numPr>
          <w:ilvl w:val="0"/>
          <w:numId w:val="10"/>
        </w:numPr>
        <w:jc w:val="both"/>
        <w:rPr>
          <w:lang w:val="en-US"/>
        </w:rPr>
      </w:pPr>
      <w:r w:rsidRPr="00E37F74">
        <w:rPr>
          <w:lang w:val="en-US"/>
        </w:rPr>
        <w:t>2016: European Commission to review t</w:t>
      </w:r>
      <w:r>
        <w:rPr>
          <w:lang w:val="en-US"/>
        </w:rPr>
        <w:t>he Energy Efficiency Directive</w:t>
      </w:r>
    </w:p>
    <w:p w:rsidR="00A26F08" w:rsidRDefault="00A26F08" w:rsidP="00A26F08">
      <w:pPr>
        <w:pStyle w:val="Prrafodelista"/>
        <w:numPr>
          <w:ilvl w:val="0"/>
          <w:numId w:val="10"/>
        </w:numPr>
        <w:jc w:val="both"/>
        <w:rPr>
          <w:lang w:val="en-US"/>
        </w:rPr>
      </w:pPr>
      <w:r w:rsidRPr="00E37F74">
        <w:rPr>
          <w:lang w:val="en-US"/>
        </w:rPr>
        <w:t>January 2019: Deadline for all new public buildings to be</w:t>
      </w:r>
      <w:r>
        <w:rPr>
          <w:lang w:val="en-US"/>
        </w:rPr>
        <w:t>come near-zero CO2 emitters</w:t>
      </w:r>
    </w:p>
    <w:p w:rsidR="00A26F08" w:rsidRPr="00E37F74" w:rsidRDefault="00A26F08" w:rsidP="00A26F08">
      <w:pPr>
        <w:pStyle w:val="Prrafodelista"/>
        <w:numPr>
          <w:ilvl w:val="0"/>
          <w:numId w:val="10"/>
        </w:numPr>
        <w:jc w:val="both"/>
        <w:rPr>
          <w:lang w:val="en-US"/>
        </w:rPr>
      </w:pPr>
      <w:r w:rsidRPr="00E37F74">
        <w:rPr>
          <w:lang w:val="en-US"/>
        </w:rPr>
        <w:t>January 2021: Deadline for all new buildings to become near-zero carbon emitters.</w:t>
      </w:r>
    </w:p>
    <w:p w:rsidR="00CF5E66" w:rsidRPr="0094485C" w:rsidRDefault="0094485C" w:rsidP="00D465DB">
      <w:pPr>
        <w:pStyle w:val="Ttulo2"/>
        <w:tabs>
          <w:tab w:val="clear" w:pos="0"/>
          <w:tab w:val="num" w:pos="851"/>
        </w:tabs>
        <w:ind w:left="851" w:hanging="851"/>
        <w:jc w:val="both"/>
        <w:rPr>
          <w:b w:val="0"/>
          <w:i w:val="0"/>
          <w:lang w:val="en-US"/>
        </w:rPr>
      </w:pPr>
      <w:bookmarkStart w:id="34" w:name="_Toc404614860"/>
      <w:r w:rsidRPr="0094485C">
        <w:rPr>
          <w:b w:val="0"/>
          <w:i w:val="0"/>
          <w:lang w:val="en-US"/>
        </w:rPr>
        <w:t xml:space="preserve">SCP - </w:t>
      </w:r>
      <w:r w:rsidR="00CF5E66" w:rsidRPr="0094485C">
        <w:rPr>
          <w:b w:val="0"/>
          <w:i w:val="0"/>
          <w:lang w:val="en-US"/>
        </w:rPr>
        <w:t>Sustainable consumption and production Action Plan</w:t>
      </w:r>
      <w:bookmarkEnd w:id="32"/>
      <w:bookmarkEnd w:id="33"/>
      <w:bookmarkEnd w:id="34"/>
    </w:p>
    <w:p w:rsidR="00945C68" w:rsidRDefault="00E97CE0" w:rsidP="00614F18">
      <w:pPr>
        <w:pStyle w:val="Prrafodelista"/>
        <w:numPr>
          <w:ilvl w:val="0"/>
          <w:numId w:val="11"/>
        </w:numPr>
        <w:rPr>
          <w:lang w:val="es-ES"/>
        </w:rPr>
      </w:pPr>
      <w:r>
        <w:rPr>
          <w:lang w:val="es-ES"/>
        </w:rPr>
        <w:t xml:space="preserve">En 2012 la CE lanzó una consulta pública bajo el título </w:t>
      </w:r>
      <w:r w:rsidR="00945C68">
        <w:rPr>
          <w:lang w:val="es-ES"/>
        </w:rPr>
        <w:t>“delivering more sustainable consump</w:t>
      </w:r>
      <w:r>
        <w:rPr>
          <w:lang w:val="es-ES"/>
        </w:rPr>
        <w:t>tion and production”, cubriendo los siguientes aspectos:</w:t>
      </w:r>
    </w:p>
    <w:p w:rsidR="00945C68" w:rsidRDefault="00945C68" w:rsidP="00614F18">
      <w:pPr>
        <w:pStyle w:val="Prrafodelista"/>
        <w:numPr>
          <w:ilvl w:val="1"/>
          <w:numId w:val="11"/>
        </w:numPr>
        <w:rPr>
          <w:lang w:val="es-ES"/>
        </w:rPr>
      </w:pPr>
      <w:r>
        <w:rPr>
          <w:lang w:val="es-ES"/>
        </w:rPr>
        <w:t>Green public procurement (GPP)</w:t>
      </w:r>
    </w:p>
    <w:p w:rsidR="00945C68" w:rsidRDefault="00945C68" w:rsidP="00614F18">
      <w:pPr>
        <w:pStyle w:val="Prrafodelista"/>
        <w:numPr>
          <w:ilvl w:val="1"/>
          <w:numId w:val="11"/>
        </w:numPr>
        <w:rPr>
          <w:lang w:val="en-US"/>
        </w:rPr>
      </w:pPr>
      <w:r w:rsidRPr="00393954">
        <w:rPr>
          <w:lang w:val="en-US"/>
        </w:rPr>
        <w:t>Environmental footprint of products (</w:t>
      </w:r>
      <w:r>
        <w:rPr>
          <w:lang w:val="en-US"/>
        </w:rPr>
        <w:t>PEF</w:t>
      </w:r>
      <w:r w:rsidRPr="00393954">
        <w:rPr>
          <w:lang w:val="en-US"/>
        </w:rPr>
        <w:t>)</w:t>
      </w:r>
    </w:p>
    <w:p w:rsidR="00945C68" w:rsidRPr="00393954" w:rsidRDefault="00945C68" w:rsidP="00614F18">
      <w:pPr>
        <w:pStyle w:val="Prrafodelista"/>
        <w:numPr>
          <w:ilvl w:val="1"/>
          <w:numId w:val="11"/>
        </w:numPr>
        <w:rPr>
          <w:lang w:val="en-US"/>
        </w:rPr>
      </w:pPr>
      <w:r>
        <w:rPr>
          <w:lang w:val="en-US"/>
        </w:rPr>
        <w:t>Environmental footprint of organizations (OEF)</w:t>
      </w:r>
    </w:p>
    <w:p w:rsidR="00E97CE0" w:rsidRPr="005F00EC" w:rsidRDefault="00E97CE0" w:rsidP="00614F18">
      <w:pPr>
        <w:pStyle w:val="Prrafodelista"/>
        <w:numPr>
          <w:ilvl w:val="0"/>
          <w:numId w:val="11"/>
        </w:numPr>
        <w:jc w:val="both"/>
        <w:rPr>
          <w:color w:val="FF0000"/>
          <w:lang w:val="es-ES" w:eastAsia="en-US"/>
        </w:rPr>
      </w:pPr>
      <w:r w:rsidRPr="005F00EC">
        <w:rPr>
          <w:color w:val="FF0000"/>
          <w:lang w:val="es-ES"/>
        </w:rPr>
        <w:t xml:space="preserve">Como resultado de la consulta, se publicaron los resultados en </w:t>
      </w:r>
      <w:r w:rsidR="00945C68" w:rsidRPr="005F00EC">
        <w:rPr>
          <w:color w:val="FF0000"/>
          <w:lang w:val="es-ES"/>
        </w:rPr>
        <w:t>enero de 2013</w:t>
      </w:r>
      <w:r w:rsidRPr="005F00EC">
        <w:rPr>
          <w:color w:val="FF0000"/>
          <w:lang w:val="es-ES"/>
        </w:rPr>
        <w:t xml:space="preserve">: </w:t>
      </w:r>
    </w:p>
    <w:p w:rsidR="00945C68" w:rsidRPr="005F00EC" w:rsidRDefault="00945C68" w:rsidP="00614F18">
      <w:pPr>
        <w:pStyle w:val="Prrafodelista"/>
        <w:numPr>
          <w:ilvl w:val="1"/>
          <w:numId w:val="11"/>
        </w:numPr>
        <w:jc w:val="both"/>
        <w:rPr>
          <w:color w:val="FF0000"/>
          <w:lang w:val="es-ES" w:eastAsia="en-US"/>
        </w:rPr>
      </w:pPr>
      <w:r w:rsidRPr="005F00EC">
        <w:rPr>
          <w:color w:val="FF0000"/>
          <w:lang w:val="es-ES"/>
        </w:rPr>
        <w:t xml:space="preserve">En resumen, se informa que los resultados muestran el apoyo de las partes implicadas en reducir  “harmful subsidies” a nivel nacional y la introducción de diferentes incentivos para productos más </w:t>
      </w:r>
      <w:r w:rsidRPr="005F00EC">
        <w:rPr>
          <w:color w:val="FF0000"/>
          <w:lang w:val="es-ES"/>
        </w:rPr>
        <w:lastRenderedPageBreak/>
        <w:t>“green”. El Ecodiseño se considera como el mejor instrumento para fortalecer la eficiencia energética.</w:t>
      </w:r>
    </w:p>
    <w:p w:rsidR="00945C68" w:rsidRPr="009B118E" w:rsidRDefault="00945C68" w:rsidP="00945C68">
      <w:pPr>
        <w:jc w:val="both"/>
        <w:rPr>
          <w:lang w:val="es-ES" w:eastAsia="en-US"/>
        </w:rPr>
      </w:pPr>
    </w:p>
    <w:p w:rsidR="00A775E7" w:rsidRPr="00D465DB" w:rsidRDefault="00A775E7" w:rsidP="00A775E7">
      <w:pPr>
        <w:pStyle w:val="Ttulo2"/>
        <w:tabs>
          <w:tab w:val="clear" w:pos="0"/>
          <w:tab w:val="num" w:pos="851"/>
        </w:tabs>
        <w:ind w:left="851" w:hanging="851"/>
        <w:jc w:val="both"/>
        <w:rPr>
          <w:b w:val="0"/>
          <w:i w:val="0"/>
          <w:lang w:val="es-ES"/>
        </w:rPr>
      </w:pPr>
      <w:bookmarkStart w:id="35" w:name="_Toc404614861"/>
      <w:bookmarkStart w:id="36" w:name="_Toc292121327"/>
      <w:bookmarkStart w:id="37" w:name="_Toc292702270"/>
      <w:r w:rsidRPr="00D465DB">
        <w:rPr>
          <w:b w:val="0"/>
          <w:i w:val="0"/>
          <w:lang w:val="es-ES"/>
        </w:rPr>
        <w:t>Compra p</w:t>
      </w:r>
      <w:r>
        <w:rPr>
          <w:b w:val="0"/>
          <w:i w:val="0"/>
          <w:lang w:val="es-ES"/>
        </w:rPr>
        <w:t>ública</w:t>
      </w:r>
      <w:bookmarkEnd w:id="35"/>
    </w:p>
    <w:p w:rsidR="00013F9D" w:rsidRPr="00013F9D" w:rsidRDefault="00013F9D" w:rsidP="00013F9D">
      <w:pPr>
        <w:pStyle w:val="Prrafodelista"/>
        <w:numPr>
          <w:ilvl w:val="0"/>
          <w:numId w:val="10"/>
        </w:numPr>
        <w:jc w:val="both"/>
        <w:rPr>
          <w:lang w:val="es-ES"/>
        </w:rPr>
      </w:pPr>
      <w:r w:rsidRPr="00013F9D">
        <w:rPr>
          <w:lang w:val="es-ES"/>
        </w:rPr>
        <w:t>El paquete de compra pública incluye las siguientes directivas:</w:t>
      </w:r>
    </w:p>
    <w:p w:rsidR="00013F9D" w:rsidRDefault="00013F9D" w:rsidP="00013F9D">
      <w:pPr>
        <w:pStyle w:val="Prrafodelista"/>
        <w:numPr>
          <w:ilvl w:val="1"/>
          <w:numId w:val="10"/>
        </w:numPr>
        <w:jc w:val="both"/>
        <w:rPr>
          <w:lang w:val="es-ES"/>
        </w:rPr>
      </w:pPr>
      <w:r>
        <w:rPr>
          <w:lang w:val="es-ES"/>
        </w:rPr>
        <w:t xml:space="preserve">Directive on public procurement </w:t>
      </w:r>
      <w:r w:rsidR="005D3387">
        <w:rPr>
          <w:lang w:val="es-ES"/>
        </w:rPr>
        <w:t xml:space="preserve">- </w:t>
      </w:r>
      <w:r>
        <w:rPr>
          <w:lang w:val="es-ES"/>
        </w:rPr>
        <w:t>2014/24/EU</w:t>
      </w:r>
      <w:r w:rsidR="005D3387">
        <w:rPr>
          <w:lang w:val="es-ES"/>
        </w:rPr>
        <w:t xml:space="preserve"> (esta es la más clásica)</w:t>
      </w:r>
    </w:p>
    <w:p w:rsidR="00013F9D" w:rsidRPr="00013F9D" w:rsidRDefault="00013F9D" w:rsidP="00013F9D">
      <w:pPr>
        <w:pStyle w:val="Prrafodelista"/>
        <w:numPr>
          <w:ilvl w:val="1"/>
          <w:numId w:val="10"/>
        </w:numPr>
        <w:jc w:val="both"/>
        <w:rPr>
          <w:lang w:val="en-US"/>
        </w:rPr>
      </w:pPr>
      <w:r w:rsidRPr="00013F9D">
        <w:rPr>
          <w:lang w:val="en-US"/>
        </w:rPr>
        <w:t>Directive on procurement by entities operating in the utilities sectors</w:t>
      </w:r>
      <w:r w:rsidR="005D3387">
        <w:rPr>
          <w:lang w:val="en-US"/>
        </w:rPr>
        <w:t xml:space="preserve"> (water, energy, transport, postal) – 2014/25/EU</w:t>
      </w:r>
    </w:p>
    <w:p w:rsidR="00013F9D" w:rsidRDefault="005D3387" w:rsidP="00013F9D">
      <w:pPr>
        <w:pStyle w:val="Prrafodelista"/>
        <w:numPr>
          <w:ilvl w:val="1"/>
          <w:numId w:val="10"/>
        </w:numPr>
        <w:jc w:val="both"/>
        <w:rPr>
          <w:lang w:val="en-US"/>
        </w:rPr>
      </w:pPr>
      <w:r>
        <w:rPr>
          <w:lang w:val="en-US"/>
        </w:rPr>
        <w:t>Directive  on the award of concesion contracts – 2014/23/EU</w:t>
      </w:r>
    </w:p>
    <w:p w:rsidR="005D3387" w:rsidRPr="005D3387" w:rsidRDefault="005D3387" w:rsidP="005D3387">
      <w:pPr>
        <w:pStyle w:val="Prrafodelista"/>
        <w:numPr>
          <w:ilvl w:val="0"/>
          <w:numId w:val="10"/>
        </w:numPr>
        <w:jc w:val="both"/>
        <w:rPr>
          <w:lang w:val="es-ES"/>
        </w:rPr>
      </w:pPr>
      <w:r w:rsidRPr="005D3387">
        <w:rPr>
          <w:lang w:val="es-ES"/>
        </w:rPr>
        <w:t xml:space="preserve">Estas directivas están adoptadas y publicadas en el diario </w:t>
      </w:r>
      <w:r w:rsidR="00A775E7">
        <w:rPr>
          <w:lang w:val="es-ES"/>
        </w:rPr>
        <w:t>o</w:t>
      </w:r>
      <w:r w:rsidRPr="005D3387">
        <w:rPr>
          <w:lang w:val="es-ES"/>
        </w:rPr>
        <w:t>ficial, y revocan la</w:t>
      </w:r>
      <w:r>
        <w:rPr>
          <w:lang w:val="es-ES"/>
        </w:rPr>
        <w:t>s</w:t>
      </w:r>
      <w:r w:rsidRPr="005D3387">
        <w:rPr>
          <w:lang w:val="es-ES"/>
        </w:rPr>
        <w:t xml:space="preserve"> </w:t>
      </w:r>
      <w:r>
        <w:rPr>
          <w:lang w:val="es-ES"/>
        </w:rPr>
        <w:t>directivas</w:t>
      </w:r>
      <w:r w:rsidRPr="005D3387">
        <w:rPr>
          <w:lang w:val="es-ES"/>
        </w:rPr>
        <w:t xml:space="preserve"> de 2004</w:t>
      </w:r>
    </w:p>
    <w:p w:rsidR="006342E6" w:rsidRPr="005D3387" w:rsidRDefault="006342E6" w:rsidP="00BD471D">
      <w:pPr>
        <w:jc w:val="both"/>
        <w:rPr>
          <w:lang w:val="es-ES" w:eastAsia="en-US"/>
        </w:rPr>
      </w:pPr>
    </w:p>
    <w:p w:rsidR="0025019B" w:rsidRPr="005F00EC" w:rsidRDefault="0025019B" w:rsidP="0025019B">
      <w:pPr>
        <w:pStyle w:val="Prrafodelista"/>
        <w:numPr>
          <w:ilvl w:val="0"/>
          <w:numId w:val="10"/>
        </w:numPr>
        <w:jc w:val="both"/>
        <w:rPr>
          <w:color w:val="FF0000"/>
          <w:lang w:val="es-ES" w:eastAsia="en-US"/>
        </w:rPr>
      </w:pPr>
      <w:r w:rsidRPr="005F00EC">
        <w:rPr>
          <w:color w:val="FF0000"/>
          <w:lang w:val="es-ES" w:eastAsia="en-US"/>
        </w:rPr>
        <w:t>La CE está desarrollando criterios de GPP según “grupos de productos”</w:t>
      </w:r>
    </w:p>
    <w:p w:rsidR="0025019B" w:rsidRDefault="0025019B" w:rsidP="0025019B">
      <w:pPr>
        <w:pStyle w:val="Prrafodelista"/>
        <w:numPr>
          <w:ilvl w:val="1"/>
          <w:numId w:val="10"/>
        </w:numPr>
        <w:jc w:val="both"/>
        <w:rPr>
          <w:color w:val="FF0000"/>
        </w:rPr>
      </w:pPr>
      <w:r w:rsidRPr="005F00EC">
        <w:rPr>
          <w:color w:val="FF0000"/>
          <w:lang w:val="en-US" w:eastAsia="en-US"/>
        </w:rPr>
        <w:t>Para finales de 2013, los grupos son los siguientes:</w:t>
      </w:r>
      <w:r w:rsidRPr="005F00EC">
        <w:rPr>
          <w:color w:val="FF0000"/>
        </w:rPr>
        <w:t xml:space="preserve"> office buildings, toilets, medical electrical equipment, and windows and doors</w:t>
      </w:r>
    </w:p>
    <w:p w:rsidR="00CF5E66" w:rsidRPr="00D465DB" w:rsidRDefault="00CF5E66" w:rsidP="00D465DB">
      <w:pPr>
        <w:pStyle w:val="Ttulo2"/>
        <w:tabs>
          <w:tab w:val="clear" w:pos="0"/>
          <w:tab w:val="num" w:pos="851"/>
        </w:tabs>
        <w:ind w:left="851" w:hanging="851"/>
        <w:jc w:val="both"/>
        <w:rPr>
          <w:b w:val="0"/>
          <w:i w:val="0"/>
          <w:lang w:val="es-ES"/>
        </w:rPr>
      </w:pPr>
      <w:bookmarkStart w:id="38" w:name="_Toc404614862"/>
      <w:r w:rsidRPr="00D465DB">
        <w:rPr>
          <w:b w:val="0"/>
          <w:i w:val="0"/>
          <w:lang w:val="es-ES"/>
        </w:rPr>
        <w:t>Environmental footprint initiative</w:t>
      </w:r>
      <w:bookmarkEnd w:id="36"/>
      <w:bookmarkEnd w:id="37"/>
      <w:r w:rsidR="00B91607">
        <w:rPr>
          <w:b w:val="0"/>
          <w:i w:val="0"/>
          <w:lang w:val="es-ES"/>
        </w:rPr>
        <w:t xml:space="preserve"> / huella de carbono</w:t>
      </w:r>
      <w:bookmarkEnd w:id="38"/>
    </w:p>
    <w:p w:rsidR="00B91607" w:rsidRPr="00B91607" w:rsidRDefault="00B91607" w:rsidP="00411495">
      <w:pPr>
        <w:pStyle w:val="Prrafodelista"/>
        <w:numPr>
          <w:ilvl w:val="0"/>
          <w:numId w:val="26"/>
        </w:numPr>
        <w:rPr>
          <w:lang w:val="es-ES"/>
        </w:rPr>
      </w:pPr>
      <w:r w:rsidRPr="00B91607">
        <w:rPr>
          <w:lang w:val="es-ES"/>
        </w:rPr>
        <w:t>Nuevo RD 163/2014 que se crea el registro de huella de carbono, compensación y proyectos de absorción de dióxido de carbono.</w:t>
      </w:r>
    </w:p>
    <w:p w:rsidR="00B91607" w:rsidRPr="00B91607" w:rsidRDefault="00B91607" w:rsidP="00B91607">
      <w:pPr>
        <w:rPr>
          <w:lang w:val="es-ES"/>
        </w:rPr>
      </w:pPr>
    </w:p>
    <w:p w:rsidR="00CF5E66" w:rsidRDefault="00CF5E66" w:rsidP="00614F18">
      <w:pPr>
        <w:pStyle w:val="Prrafodelista"/>
        <w:numPr>
          <w:ilvl w:val="0"/>
          <w:numId w:val="10"/>
        </w:numPr>
        <w:rPr>
          <w:lang w:val="es-ES"/>
        </w:rPr>
      </w:pPr>
      <w:r w:rsidRPr="00CF775E">
        <w:rPr>
          <w:lang w:val="es-ES"/>
        </w:rPr>
        <w:t>DG environment junto con el JRC están desarrollando unas “technical guides for the calculation of the environmental footprint of products and companies”, en el marco del SCP</w:t>
      </w:r>
    </w:p>
    <w:p w:rsidR="007070DE" w:rsidRPr="004642A9" w:rsidRDefault="004642A9" w:rsidP="00614F18">
      <w:pPr>
        <w:pStyle w:val="Prrafodelista"/>
        <w:numPr>
          <w:ilvl w:val="1"/>
          <w:numId w:val="10"/>
        </w:numPr>
        <w:rPr>
          <w:color w:val="FF0000"/>
          <w:lang w:val="es-ES"/>
        </w:rPr>
      </w:pPr>
      <w:r w:rsidRPr="004642A9">
        <w:rPr>
          <w:color w:val="FF0000"/>
          <w:lang w:val="es-ES"/>
        </w:rPr>
        <w:t>DESCONOCEMOS EL ESTADO DE ESTAS GUÍAS (DEBERÍAN ESTAR LISTAS PARA FINALES DE 2012)</w:t>
      </w:r>
    </w:p>
    <w:p w:rsidR="006B0EEE" w:rsidRPr="006B0EEE" w:rsidRDefault="006B0EEE" w:rsidP="00614F18">
      <w:pPr>
        <w:pStyle w:val="Prrafodelista"/>
        <w:numPr>
          <w:ilvl w:val="0"/>
          <w:numId w:val="10"/>
        </w:numPr>
        <w:rPr>
          <w:lang w:val="es-ES"/>
        </w:rPr>
      </w:pPr>
      <w:r>
        <w:rPr>
          <w:lang w:val="es-ES"/>
        </w:rPr>
        <w:t>En relación a la huella de carbono, s</w:t>
      </w:r>
      <w:r w:rsidRPr="006B0EEE">
        <w:rPr>
          <w:lang w:val="es-ES"/>
        </w:rPr>
        <w:t>egún informaci</w:t>
      </w:r>
      <w:r>
        <w:rPr>
          <w:lang w:val="es-ES"/>
        </w:rPr>
        <w:t>ón proporcionada por AM</w:t>
      </w:r>
    </w:p>
    <w:p w:rsidR="006B0EEE" w:rsidRPr="00513A31" w:rsidRDefault="006B0EEE" w:rsidP="00614F18">
      <w:pPr>
        <w:pStyle w:val="Prrafodelista"/>
        <w:numPr>
          <w:ilvl w:val="1"/>
          <w:numId w:val="10"/>
        </w:numPr>
        <w:rPr>
          <w:lang w:val="es-ES"/>
        </w:rPr>
      </w:pPr>
      <w:r w:rsidRPr="00513A31">
        <w:rPr>
          <w:lang w:val="es-ES"/>
        </w:rPr>
        <w:lastRenderedPageBreak/>
        <w:t xml:space="preserve">En ISO el proyecto de norma relacionado con huella de carbono en productos se está desarrollando en el Subcomité ISO/TC 207/SC 7 Greenhouse gas management and related activities dentro del ISO /TC 207 Environmental management. </w:t>
      </w:r>
    </w:p>
    <w:p w:rsidR="006B0EEE" w:rsidRPr="00513A31" w:rsidRDefault="006B0EEE" w:rsidP="00614F18">
      <w:pPr>
        <w:pStyle w:val="Prrafodelista"/>
        <w:numPr>
          <w:ilvl w:val="1"/>
          <w:numId w:val="10"/>
        </w:numPr>
        <w:rPr>
          <w:lang w:val="es-ES"/>
        </w:rPr>
      </w:pPr>
      <w:r w:rsidRPr="006B0EEE">
        <w:rPr>
          <w:lang w:val="en-US"/>
        </w:rPr>
        <w:t xml:space="preserve">El proyecto es el ISO/DIS 14067 </w:t>
      </w:r>
      <w:r w:rsidRPr="006B0EEE">
        <w:rPr>
          <w:b/>
          <w:bCs/>
          <w:lang w:val="en-US"/>
        </w:rPr>
        <w:t>Carbon footprint of products -- Requirements and guidelines for quantification and communication</w:t>
      </w:r>
      <w:r w:rsidRPr="006B0EEE">
        <w:rPr>
          <w:lang w:val="en-US"/>
        </w:rPr>
        <w:t xml:space="preserve">. </w:t>
      </w:r>
      <w:r w:rsidRPr="00513A31">
        <w:rPr>
          <w:lang w:val="es-ES"/>
        </w:rPr>
        <w:t>Lleva un retraso de más de un año con respecto al calendario previsto, ya que en la primera fase de voto (ISO/CD 14067) hubo muchos comentarios por parte de todos los países miembros de ISO. De hecho, inicialmente estaba previsto que hubiera 2 partes (una para cuantificación y otra para comunicación) y se ha reducido a una. La fase actual (ISO/DIS) tiene como fecha límite de voto el mes de julio, y faltaría una última votación (FDIS). Así que, si todo va bien y no hay más parones en el proyecto, se publicaría la norma el año que viene.</w:t>
      </w:r>
    </w:p>
    <w:p w:rsidR="006B0EEE" w:rsidRPr="00513A31" w:rsidRDefault="006B0EEE" w:rsidP="00614F18">
      <w:pPr>
        <w:pStyle w:val="Prrafodelista"/>
        <w:numPr>
          <w:ilvl w:val="1"/>
          <w:numId w:val="10"/>
        </w:numPr>
        <w:rPr>
          <w:lang w:val="es-ES"/>
        </w:rPr>
      </w:pPr>
      <w:r w:rsidRPr="00513A31">
        <w:rPr>
          <w:lang w:val="es-ES"/>
        </w:rPr>
        <w:t>En el ámbito nacional el proyecto se sigue en el AEN/CTN 216 Energías renovables, cambio climático y eficiencia energética, y me comenta el compañero que desempeña la secretaría del grupo que dentro del comité español hay interés por el proyecto pero que no tenemos expertos españoles trabajando en el grupo internacional.  </w:t>
      </w:r>
    </w:p>
    <w:p w:rsidR="006B0EEE" w:rsidRDefault="006B0EEE" w:rsidP="00614F18">
      <w:pPr>
        <w:pStyle w:val="Prrafodelista"/>
        <w:numPr>
          <w:ilvl w:val="1"/>
          <w:numId w:val="10"/>
        </w:numPr>
        <w:rPr>
          <w:lang w:val="es-ES"/>
        </w:rPr>
      </w:pPr>
      <w:r w:rsidRPr="00513A31">
        <w:rPr>
          <w:lang w:val="es-ES"/>
        </w:rPr>
        <w:t>A nivel europeo (Norma EN) se publicaría posteriormente pero aún no hay nada.</w:t>
      </w:r>
    </w:p>
    <w:p w:rsidR="00BD471D" w:rsidRPr="00513A31" w:rsidRDefault="00BD471D" w:rsidP="00BD471D">
      <w:pPr>
        <w:rPr>
          <w:lang w:val="es-ES"/>
        </w:rPr>
      </w:pPr>
    </w:p>
    <w:p w:rsidR="00CF02E4" w:rsidRDefault="00A26F08" w:rsidP="00CF02E4">
      <w:pPr>
        <w:pStyle w:val="Ttulo3"/>
        <w:rPr>
          <w:lang w:val="es-ES"/>
        </w:rPr>
      </w:pPr>
      <w:r>
        <w:rPr>
          <w:lang w:val="es-ES"/>
        </w:rPr>
        <w:t>Novedades Noviembre’2014</w:t>
      </w:r>
    </w:p>
    <w:p w:rsidR="00293BE5" w:rsidRDefault="00034D9F" w:rsidP="00411495">
      <w:pPr>
        <w:pStyle w:val="Prrafodelista"/>
        <w:numPr>
          <w:ilvl w:val="0"/>
          <w:numId w:val="19"/>
        </w:numPr>
        <w:rPr>
          <w:lang w:val="es-ES"/>
        </w:rPr>
      </w:pPr>
      <w:r>
        <w:rPr>
          <w:lang w:val="es-ES"/>
        </w:rPr>
        <w:t>LA “DG environment”</w:t>
      </w:r>
      <w:r w:rsidR="00293BE5">
        <w:rPr>
          <w:lang w:val="es-ES"/>
        </w:rPr>
        <w:t xml:space="preserve"> ha cerrado la primera fase de búsqueda de</w:t>
      </w:r>
      <w:r w:rsidR="00F77B74">
        <w:rPr>
          <w:lang w:val="es-ES"/>
        </w:rPr>
        <w:t xml:space="preserve"> “</w:t>
      </w:r>
      <w:r w:rsidR="00293BE5">
        <w:rPr>
          <w:lang w:val="es-ES"/>
        </w:rPr>
        <w:t>volu</w:t>
      </w:r>
      <w:r w:rsidR="00F77B74">
        <w:rPr>
          <w:lang w:val="es-ES"/>
        </w:rPr>
        <w:t>n</w:t>
      </w:r>
      <w:r w:rsidR="00293BE5">
        <w:rPr>
          <w:lang w:val="es-ES"/>
        </w:rPr>
        <w:t>tarios</w:t>
      </w:r>
      <w:r w:rsidR="00F77B74">
        <w:rPr>
          <w:lang w:val="es-ES"/>
        </w:rPr>
        <w:t>” a ser incluidos en la fase piloto. Hay dos categorías:</w:t>
      </w:r>
    </w:p>
    <w:p w:rsidR="00293BE5" w:rsidRPr="00F77B74" w:rsidRDefault="00F77B74" w:rsidP="00411495">
      <w:pPr>
        <w:pStyle w:val="Prrafodelista"/>
        <w:numPr>
          <w:ilvl w:val="1"/>
          <w:numId w:val="19"/>
        </w:numPr>
        <w:rPr>
          <w:lang w:val="es-ES"/>
        </w:rPr>
      </w:pPr>
      <w:r w:rsidRPr="00F77B74">
        <w:rPr>
          <w:lang w:val="es-ES"/>
        </w:rPr>
        <w:t>PRODUCTOS: con objeto de desarrollar “</w:t>
      </w:r>
      <w:hyperlink r:id="rId26" w:history="1">
        <w:r w:rsidR="008A7489" w:rsidRPr="00F77B74">
          <w:rPr>
            <w:rStyle w:val="Hipervnculo"/>
            <w:szCs w:val="22"/>
            <w:lang w:val="es-ES"/>
          </w:rPr>
          <w:t>Product Environmental Footprint Category Rules</w:t>
        </w:r>
      </w:hyperlink>
      <w:r w:rsidR="008A7489" w:rsidRPr="00F77B74">
        <w:rPr>
          <w:lang w:val="es-ES"/>
        </w:rPr>
        <w:t xml:space="preserve"> (PEFCRs)</w:t>
      </w:r>
      <w:r>
        <w:rPr>
          <w:lang w:val="es-ES"/>
        </w:rPr>
        <w:t>”</w:t>
      </w:r>
    </w:p>
    <w:p w:rsidR="00293BE5" w:rsidRDefault="00F77B74" w:rsidP="00411495">
      <w:pPr>
        <w:pStyle w:val="Prrafodelista"/>
        <w:numPr>
          <w:ilvl w:val="1"/>
          <w:numId w:val="19"/>
        </w:numPr>
      </w:pPr>
      <w:r>
        <w:rPr>
          <w:lang w:val="es-ES"/>
        </w:rPr>
        <w:t>SECTORES: para desarrolllar</w:t>
      </w:r>
      <w:r w:rsidR="008A7489" w:rsidRPr="006E53F7">
        <w:t xml:space="preserve"> </w:t>
      </w:r>
      <w:r>
        <w:t>“</w:t>
      </w:r>
      <w:hyperlink r:id="rId27" w:history="1">
        <w:r w:rsidR="008A7489" w:rsidRPr="00293BE5">
          <w:rPr>
            <w:rStyle w:val="Hipervnculo"/>
            <w:szCs w:val="22"/>
          </w:rPr>
          <w:t>Organisation Environmental Footprint Sector Rules</w:t>
        </w:r>
      </w:hyperlink>
      <w:r w:rsidR="008A7489" w:rsidRPr="006E53F7">
        <w:t xml:space="preserve"> (OEFSRs)</w:t>
      </w:r>
      <w:r>
        <w:t>”</w:t>
      </w:r>
    </w:p>
    <w:p w:rsidR="00AA6D36" w:rsidRDefault="00AA6D36" w:rsidP="00411495">
      <w:pPr>
        <w:pStyle w:val="Prrafodelista"/>
        <w:numPr>
          <w:ilvl w:val="0"/>
          <w:numId w:val="19"/>
        </w:numPr>
        <w:rPr>
          <w:lang w:val="es-ES"/>
        </w:rPr>
      </w:pPr>
      <w:r w:rsidRPr="00AA6D36">
        <w:rPr>
          <w:lang w:val="es-ES"/>
        </w:rPr>
        <w:t>La CE ha establecido dos documentos para entender m</w:t>
      </w:r>
      <w:r>
        <w:rPr>
          <w:lang w:val="es-ES"/>
        </w:rPr>
        <w:t>e</w:t>
      </w:r>
      <w:r w:rsidRPr="00AA6D36">
        <w:rPr>
          <w:lang w:val="es-ES"/>
        </w:rPr>
        <w:t xml:space="preserve">jor el alcance </w:t>
      </w:r>
      <w:r>
        <w:rPr>
          <w:lang w:val="es-ES"/>
        </w:rPr>
        <w:t>de las “rules”</w:t>
      </w:r>
    </w:p>
    <w:p w:rsidR="00AA6D36" w:rsidRDefault="00F5022D" w:rsidP="00411495">
      <w:pPr>
        <w:pStyle w:val="Prrafodelista"/>
        <w:numPr>
          <w:ilvl w:val="1"/>
          <w:numId w:val="19"/>
        </w:numPr>
      </w:pPr>
      <w:hyperlink r:id="rId28" w:history="1">
        <w:r w:rsidR="008A7489" w:rsidRPr="00AA6D36">
          <w:rPr>
            <w:rStyle w:val="Hipervnculo"/>
            <w:szCs w:val="22"/>
          </w:rPr>
          <w:t>Guidance for the implementation of the EU Product Environmental Footprint</w:t>
        </w:r>
      </w:hyperlink>
      <w:r w:rsidR="008A7489" w:rsidRPr="006E53F7">
        <w:t xml:space="preserve"> (PEF)</w:t>
      </w:r>
    </w:p>
    <w:p w:rsidR="008A7489" w:rsidRPr="006E53F7" w:rsidRDefault="00F5022D" w:rsidP="00411495">
      <w:pPr>
        <w:pStyle w:val="Prrafodelista"/>
        <w:numPr>
          <w:ilvl w:val="1"/>
          <w:numId w:val="19"/>
        </w:numPr>
      </w:pPr>
      <w:hyperlink r:id="rId29" w:history="1">
        <w:r w:rsidR="008A7489" w:rsidRPr="00AA6D36">
          <w:rPr>
            <w:rStyle w:val="Hipervnculo"/>
            <w:szCs w:val="22"/>
          </w:rPr>
          <w:t>Guidance for the implementation of the EU Organisation Environmental Footprint</w:t>
        </w:r>
      </w:hyperlink>
      <w:r w:rsidR="00FE070C">
        <w:t xml:space="preserve"> (OEF)</w:t>
      </w:r>
    </w:p>
    <w:p w:rsidR="008A7489" w:rsidRPr="006E2F4F" w:rsidRDefault="008A7489" w:rsidP="006B0EEE">
      <w:pPr>
        <w:rPr>
          <w:lang w:val="en-US"/>
        </w:rPr>
      </w:pPr>
    </w:p>
    <w:p w:rsidR="00A26F08" w:rsidRPr="006E2F4F" w:rsidRDefault="00A26F08" w:rsidP="00411495">
      <w:pPr>
        <w:pStyle w:val="Prrafodelista"/>
        <w:numPr>
          <w:ilvl w:val="0"/>
          <w:numId w:val="19"/>
        </w:numPr>
        <w:rPr>
          <w:lang w:val="en-US"/>
        </w:rPr>
      </w:pPr>
      <w:bookmarkStart w:id="39" w:name="_Toc401068750"/>
      <w:r w:rsidRPr="006E2F4F">
        <w:rPr>
          <w:lang w:val="en-US"/>
        </w:rPr>
        <w:t>Product Environment Footprint Category Rules - PEFCR for HV Circuit-Breakers)</w:t>
      </w:r>
      <w:bookmarkEnd w:id="39"/>
    </w:p>
    <w:p w:rsidR="00A26F08" w:rsidRPr="00AC7BF3" w:rsidRDefault="00A26F08" w:rsidP="00A26F08">
      <w:pPr>
        <w:ind w:left="709"/>
        <w:jc w:val="both"/>
        <w:rPr>
          <w:rFonts w:asciiTheme="minorHAnsi" w:hAnsiTheme="minorHAnsi"/>
        </w:rPr>
      </w:pPr>
      <w:r w:rsidRPr="00AC7BF3">
        <w:rPr>
          <w:rFonts w:asciiTheme="minorHAnsi" w:hAnsiTheme="minorHAnsi"/>
        </w:rPr>
        <w:t>The general idea is to develop product category specific, life</w:t>
      </w:r>
      <w:r w:rsidRPr="00AC7BF3">
        <w:rPr>
          <w:rFonts w:asciiTheme="minorHAnsi" w:hAnsiTheme="minorHAnsi" w:cs="Cambria Math"/>
        </w:rPr>
        <w:t>‐</w:t>
      </w:r>
      <w:r w:rsidRPr="00AC7BF3">
        <w:rPr>
          <w:rFonts w:asciiTheme="minorHAnsi" w:hAnsiTheme="minorHAnsi"/>
        </w:rPr>
        <w:t>cycle</w:t>
      </w:r>
      <w:r w:rsidRPr="00AC7BF3">
        <w:rPr>
          <w:rFonts w:asciiTheme="minorHAnsi" w:hAnsiTheme="minorHAnsi" w:cs="Cambria Math"/>
        </w:rPr>
        <w:t>‐</w:t>
      </w:r>
      <w:r w:rsidRPr="00AC7BF3">
        <w:rPr>
          <w:rFonts w:asciiTheme="minorHAnsi" w:hAnsiTheme="minorHAnsi"/>
        </w:rPr>
        <w:t xml:space="preserve">based rules that complement general methodological guidance for PEF studies by providing further specification at the level of a specific product category. In 2013, 14 pilot projects (among which Batteries and accumulators, Photovoltaic electricity generation, Uninterruptible Power Supply) were selected for a three-years testing period to develop product - and sector - specific rules through a multi-stakeholder process. </w:t>
      </w:r>
    </w:p>
    <w:p w:rsidR="00A26F08" w:rsidRPr="00AC7BF3" w:rsidRDefault="00A26F08" w:rsidP="00A26F08">
      <w:pPr>
        <w:ind w:left="709"/>
        <w:jc w:val="both"/>
        <w:rPr>
          <w:rFonts w:asciiTheme="minorHAnsi" w:hAnsiTheme="minorHAnsi"/>
        </w:rPr>
      </w:pPr>
      <w:r w:rsidRPr="00AC7BF3">
        <w:rPr>
          <w:rFonts w:asciiTheme="minorHAnsi" w:hAnsiTheme="minorHAnsi"/>
        </w:rPr>
        <w:t>It is proposed:</w:t>
      </w:r>
    </w:p>
    <w:p w:rsidR="00A26F08" w:rsidRPr="00AC7BF3" w:rsidRDefault="00A26F08" w:rsidP="00411495">
      <w:pPr>
        <w:pStyle w:val="Prrafodelista"/>
        <w:numPr>
          <w:ilvl w:val="0"/>
          <w:numId w:val="31"/>
        </w:numPr>
        <w:ind w:left="1429"/>
        <w:jc w:val="both"/>
        <w:rPr>
          <w:rFonts w:asciiTheme="minorHAnsi" w:hAnsiTheme="minorHAnsi"/>
        </w:rPr>
      </w:pPr>
      <w:r w:rsidRPr="00AC7BF3">
        <w:rPr>
          <w:rFonts w:asciiTheme="minorHAnsi" w:hAnsiTheme="minorHAnsi"/>
        </w:rPr>
        <w:t xml:space="preserve">To develop PEFCRs for High Voltage Circuit Breakers following the template indicated in the European Commission recommendation 2013/179/EU and </w:t>
      </w:r>
    </w:p>
    <w:p w:rsidR="00A26F08" w:rsidRPr="00AC7BF3" w:rsidRDefault="00A26F08" w:rsidP="00411495">
      <w:pPr>
        <w:pStyle w:val="Prrafodelista"/>
        <w:numPr>
          <w:ilvl w:val="0"/>
          <w:numId w:val="31"/>
        </w:numPr>
        <w:ind w:left="1429"/>
        <w:jc w:val="both"/>
        <w:rPr>
          <w:rFonts w:asciiTheme="minorHAnsi" w:hAnsiTheme="minorHAnsi"/>
        </w:rPr>
      </w:pPr>
      <w:r w:rsidRPr="00AC7BF3">
        <w:rPr>
          <w:rFonts w:asciiTheme="minorHAnsi" w:hAnsiTheme="minorHAnsi"/>
        </w:rPr>
        <w:t xml:space="preserve">To monitor standardization initiatives on PCRs </w:t>
      </w:r>
    </w:p>
    <w:p w:rsidR="00A26F08" w:rsidRPr="00040B52" w:rsidRDefault="00A26F08" w:rsidP="00A26F08">
      <w:pPr>
        <w:ind w:left="709"/>
        <w:jc w:val="both"/>
        <w:rPr>
          <w:rFonts w:asciiTheme="minorHAnsi" w:hAnsiTheme="minorHAnsi"/>
          <w:color w:val="FF0000"/>
        </w:rPr>
      </w:pPr>
      <w:r w:rsidRPr="00040B52">
        <w:rPr>
          <w:rFonts w:asciiTheme="minorHAnsi" w:hAnsiTheme="minorHAnsi"/>
          <w:color w:val="FF0000"/>
        </w:rPr>
        <w:t>This will help to:</w:t>
      </w:r>
    </w:p>
    <w:p w:rsidR="00A26F08" w:rsidRPr="00040B52" w:rsidRDefault="00A26F08" w:rsidP="00411495">
      <w:pPr>
        <w:pStyle w:val="Prrafodelista"/>
        <w:numPr>
          <w:ilvl w:val="0"/>
          <w:numId w:val="31"/>
        </w:numPr>
        <w:ind w:left="1429"/>
        <w:jc w:val="both"/>
        <w:rPr>
          <w:rFonts w:asciiTheme="minorHAnsi" w:hAnsiTheme="minorHAnsi"/>
          <w:color w:val="FF0000"/>
        </w:rPr>
      </w:pPr>
      <w:r w:rsidRPr="00040B52">
        <w:rPr>
          <w:rFonts w:asciiTheme="minorHAnsi" w:hAnsiTheme="minorHAnsi"/>
          <w:color w:val="FF0000"/>
        </w:rPr>
        <w:t>Anticipate future legislation</w:t>
      </w:r>
    </w:p>
    <w:p w:rsidR="00A26F08" w:rsidRPr="00040B52" w:rsidRDefault="00A26F08" w:rsidP="00411495">
      <w:pPr>
        <w:pStyle w:val="Prrafodelista"/>
        <w:numPr>
          <w:ilvl w:val="0"/>
          <w:numId w:val="31"/>
        </w:numPr>
        <w:ind w:left="1429"/>
        <w:jc w:val="both"/>
        <w:rPr>
          <w:rFonts w:asciiTheme="minorHAnsi" w:hAnsiTheme="minorHAnsi"/>
          <w:color w:val="FF0000"/>
        </w:rPr>
      </w:pPr>
      <w:r w:rsidRPr="00040B52">
        <w:rPr>
          <w:rFonts w:asciiTheme="minorHAnsi" w:hAnsiTheme="minorHAnsi"/>
          <w:color w:val="FF0000"/>
        </w:rPr>
        <w:t>Ensure the development of the PCR methodology by manufacturers instead of being imposed to apply inadequate ones</w:t>
      </w:r>
    </w:p>
    <w:p w:rsidR="00BE45A5" w:rsidRDefault="00BE45A5" w:rsidP="00BE45A5">
      <w:pPr>
        <w:pStyle w:val="Ttulo2"/>
        <w:tabs>
          <w:tab w:val="clear" w:pos="0"/>
          <w:tab w:val="num" w:pos="851"/>
        </w:tabs>
        <w:ind w:left="851" w:hanging="851"/>
        <w:jc w:val="both"/>
        <w:rPr>
          <w:b w:val="0"/>
          <w:i w:val="0"/>
          <w:lang w:val="es-ES"/>
        </w:rPr>
      </w:pPr>
      <w:bookmarkStart w:id="40" w:name="_Toc404614863"/>
      <w:r w:rsidRPr="000B5E0E">
        <w:rPr>
          <w:b w:val="0"/>
          <w:i w:val="0"/>
          <w:lang w:val="es-ES"/>
        </w:rPr>
        <w:t>ATEX Product Directive</w:t>
      </w:r>
      <w:bookmarkEnd w:id="40"/>
    </w:p>
    <w:p w:rsidR="00BE45A5" w:rsidRDefault="00BE45A5" w:rsidP="00BE45A5">
      <w:pPr>
        <w:jc w:val="both"/>
        <w:rPr>
          <w:lang w:val="es-ES"/>
        </w:rPr>
      </w:pPr>
      <w:r w:rsidRPr="00126270">
        <w:rPr>
          <w:lang w:val="es-ES"/>
        </w:rPr>
        <w:t xml:space="preserve">Publicada en 1994, que hace referencia a aparatos y sistemas de protección para uso en atmósferas potencialmente explosivas, y en vigor desde Julio de 2003. </w:t>
      </w:r>
      <w:r w:rsidRPr="00A238EE">
        <w:rPr>
          <w:color w:val="FF0000"/>
          <w:lang w:val="es-ES"/>
        </w:rPr>
        <w:t>No está clara su aplicación a productos de AT y hay algunos temas no suficientemente aclarados en relación a su relación con la LVD, que están siendo objeto de discusión en la revisión de la LVD</w:t>
      </w:r>
      <w:r w:rsidRPr="00126270">
        <w:rPr>
          <w:lang w:val="es-ES"/>
        </w:rPr>
        <w:t>.</w:t>
      </w:r>
    </w:p>
    <w:p w:rsidR="00BE45A5" w:rsidRDefault="00BE45A5" w:rsidP="00BE45A5">
      <w:pPr>
        <w:jc w:val="both"/>
        <w:rPr>
          <w:lang w:val="es-ES"/>
        </w:rPr>
      </w:pPr>
    </w:p>
    <w:p w:rsidR="00796DB7" w:rsidRDefault="00796DB7" w:rsidP="00796DB7">
      <w:pPr>
        <w:pStyle w:val="Ttulo3"/>
        <w:rPr>
          <w:lang w:val="es-ES"/>
        </w:rPr>
      </w:pPr>
      <w:r>
        <w:rPr>
          <w:lang w:val="es-ES"/>
        </w:rPr>
        <w:t>Novedades Noviembre’2013</w:t>
      </w:r>
    </w:p>
    <w:p w:rsidR="00BE45A5" w:rsidRDefault="00BE45A5" w:rsidP="00614F18">
      <w:pPr>
        <w:pStyle w:val="Prrafodelista"/>
        <w:numPr>
          <w:ilvl w:val="0"/>
          <w:numId w:val="10"/>
        </w:numPr>
        <w:rPr>
          <w:lang w:val="es-ES"/>
        </w:rPr>
      </w:pPr>
      <w:r>
        <w:rPr>
          <w:lang w:val="es-ES"/>
        </w:rPr>
        <w:t>Directiva 94/9/CE. Está transpuesta RD 400/1996.</w:t>
      </w:r>
    </w:p>
    <w:p w:rsidR="00BE45A5" w:rsidRDefault="00BE45A5" w:rsidP="00614F18">
      <w:pPr>
        <w:pStyle w:val="Prrafodelista"/>
        <w:numPr>
          <w:ilvl w:val="0"/>
          <w:numId w:val="10"/>
        </w:numPr>
        <w:rPr>
          <w:lang w:val="es-ES"/>
        </w:rPr>
      </w:pPr>
      <w:r>
        <w:rPr>
          <w:lang w:val="es-ES"/>
        </w:rPr>
        <w:lastRenderedPageBreak/>
        <w:t>Aplica el reglamento 1025/2012. Modifica el Art. 6 apartado 1 de 94/9/CE. No afecta creo en nada (es de normalización). Modifica el Art. 7 sobre cómo actuar si se comprueba que un aparato es poco seguro.</w:t>
      </w:r>
    </w:p>
    <w:p w:rsidR="00BE45A5" w:rsidRPr="00F61B08" w:rsidRDefault="00BE45A5" w:rsidP="00614F18">
      <w:pPr>
        <w:pStyle w:val="Prrafodelista"/>
        <w:numPr>
          <w:ilvl w:val="0"/>
          <w:numId w:val="10"/>
        </w:numPr>
        <w:rPr>
          <w:lang w:val="es-ES"/>
        </w:rPr>
      </w:pPr>
      <w:r>
        <w:rPr>
          <w:lang w:val="es-ES"/>
        </w:rPr>
        <w:t>En resumen, está enfocada a normas de Seguridad en el alcance de aparatos que trabajan en ambiente explosivo.</w:t>
      </w:r>
    </w:p>
    <w:p w:rsidR="00BE45A5" w:rsidRDefault="00BE45A5" w:rsidP="00CF5E66">
      <w:pPr>
        <w:jc w:val="both"/>
        <w:rPr>
          <w:lang w:val="es-ES"/>
        </w:rPr>
      </w:pPr>
    </w:p>
    <w:p w:rsidR="00EE5F60" w:rsidRDefault="00EE5F60" w:rsidP="00EE5F60">
      <w:pPr>
        <w:pStyle w:val="Ttulo2"/>
        <w:tabs>
          <w:tab w:val="clear" w:pos="0"/>
          <w:tab w:val="num" w:pos="851"/>
        </w:tabs>
        <w:ind w:left="851" w:hanging="851"/>
        <w:jc w:val="both"/>
        <w:rPr>
          <w:b w:val="0"/>
          <w:i w:val="0"/>
          <w:lang w:val="en-US"/>
        </w:rPr>
      </w:pPr>
      <w:bookmarkStart w:id="41" w:name="_Toc404614864"/>
      <w:r w:rsidRPr="005660F6">
        <w:rPr>
          <w:b w:val="0"/>
          <w:i w:val="0"/>
          <w:lang w:val="en-US"/>
        </w:rPr>
        <w:t>Energy labelling / Indication by labelling and standard product information of the consumption of energy and other resources by energy-related products</w:t>
      </w:r>
      <w:r>
        <w:rPr>
          <w:b w:val="0"/>
          <w:i w:val="0"/>
          <w:lang w:val="en-US"/>
        </w:rPr>
        <w:t xml:space="preserve"> (2010/30/EU)</w:t>
      </w:r>
      <w:bookmarkEnd w:id="41"/>
    </w:p>
    <w:p w:rsidR="00BD6938" w:rsidRPr="00BD6938" w:rsidRDefault="00F5022D" w:rsidP="00614F18">
      <w:pPr>
        <w:pStyle w:val="Prrafodelista"/>
        <w:numPr>
          <w:ilvl w:val="0"/>
          <w:numId w:val="10"/>
        </w:numPr>
        <w:rPr>
          <w:rFonts w:cs="Arial"/>
          <w:lang w:val="en-US"/>
        </w:rPr>
      </w:pPr>
      <w:hyperlink r:id="rId30" w:history="1">
        <w:r w:rsidR="00BD6938" w:rsidRPr="00BD6938">
          <w:rPr>
            <w:rStyle w:val="Hipervnculo"/>
            <w:rFonts w:cs="Arial"/>
            <w:lang w:val="en-US"/>
          </w:rPr>
          <w:t>http://ec.europa.eu/energy/efficiency/labelling/labelling_en.htm</w:t>
        </w:r>
      </w:hyperlink>
    </w:p>
    <w:p w:rsidR="00EE5F60" w:rsidRPr="00BD6938" w:rsidRDefault="00EE5F60" w:rsidP="00614F18">
      <w:pPr>
        <w:pStyle w:val="Prrafodelista"/>
        <w:numPr>
          <w:ilvl w:val="0"/>
          <w:numId w:val="10"/>
        </w:numPr>
        <w:rPr>
          <w:rFonts w:cs="Arial"/>
          <w:lang w:val="es-ES"/>
        </w:rPr>
      </w:pPr>
      <w:r w:rsidRPr="00BD6938">
        <w:rPr>
          <w:rFonts w:cs="Arial"/>
          <w:lang w:val="es-ES"/>
        </w:rPr>
        <w:t>Se define a que equipos aplica, y como, por medio de actos delegados de la Comisión (no está permitido el uso del marcado para equipos no contemplados específicamente en la Directiva o en los actos delegados de la Comisión):</w:t>
      </w:r>
    </w:p>
    <w:p w:rsidR="00EE5F60" w:rsidRPr="00BD6938" w:rsidRDefault="00EE5F60" w:rsidP="00614F18">
      <w:pPr>
        <w:pStyle w:val="Textosinformato"/>
        <w:numPr>
          <w:ilvl w:val="0"/>
          <w:numId w:val="10"/>
        </w:numPr>
        <w:rPr>
          <w:rFonts w:ascii="Arial" w:hAnsi="Arial" w:cs="Arial"/>
          <w:sz w:val="20"/>
          <w:szCs w:val="20"/>
        </w:rPr>
      </w:pPr>
      <w:r w:rsidRPr="00BD6938">
        <w:rPr>
          <w:rFonts w:ascii="Arial" w:hAnsi="Arial" w:cs="Arial"/>
          <w:sz w:val="20"/>
          <w:szCs w:val="20"/>
        </w:rPr>
        <w:t>Por el momento desarrollada para:</w:t>
      </w:r>
    </w:p>
    <w:p w:rsidR="00EE5F60" w:rsidRPr="00BD6938" w:rsidRDefault="00EE5F60" w:rsidP="00614F18">
      <w:pPr>
        <w:pStyle w:val="Textosinformato"/>
        <w:numPr>
          <w:ilvl w:val="1"/>
          <w:numId w:val="10"/>
        </w:numPr>
        <w:rPr>
          <w:rFonts w:ascii="Arial" w:hAnsi="Arial" w:cs="Arial"/>
          <w:sz w:val="20"/>
          <w:szCs w:val="20"/>
          <w:lang w:val="en-US"/>
        </w:rPr>
      </w:pPr>
      <w:r w:rsidRPr="00BD6938">
        <w:rPr>
          <w:rFonts w:ascii="Arial" w:hAnsi="Arial" w:cs="Arial"/>
          <w:sz w:val="20"/>
          <w:szCs w:val="20"/>
          <w:lang w:val="en-US"/>
        </w:rPr>
        <w:t>Electrodomésticos (See attached file: overview_legislation_energy_labelling_household_appliances.pdf)</w:t>
      </w:r>
    </w:p>
    <w:p w:rsidR="00EE5F60" w:rsidRPr="00BD6938" w:rsidRDefault="00EE5F60" w:rsidP="00614F18">
      <w:pPr>
        <w:pStyle w:val="Textosinformato"/>
        <w:numPr>
          <w:ilvl w:val="1"/>
          <w:numId w:val="10"/>
        </w:numPr>
        <w:rPr>
          <w:rFonts w:ascii="Arial" w:hAnsi="Arial" w:cs="Arial"/>
          <w:sz w:val="20"/>
          <w:szCs w:val="20"/>
        </w:rPr>
      </w:pPr>
      <w:r w:rsidRPr="00BD6938">
        <w:rPr>
          <w:rFonts w:ascii="Arial" w:hAnsi="Arial" w:cs="Arial"/>
          <w:sz w:val="20"/>
          <w:szCs w:val="20"/>
        </w:rPr>
        <w:t>Alumbrado doméstico</w:t>
      </w:r>
    </w:p>
    <w:p w:rsidR="00EE5F60" w:rsidRPr="00BD6938" w:rsidRDefault="00EE5F60" w:rsidP="00614F18">
      <w:pPr>
        <w:pStyle w:val="Textosinformato"/>
        <w:numPr>
          <w:ilvl w:val="1"/>
          <w:numId w:val="10"/>
        </w:numPr>
        <w:rPr>
          <w:rFonts w:ascii="Arial" w:hAnsi="Arial" w:cs="Arial"/>
          <w:sz w:val="20"/>
          <w:szCs w:val="20"/>
        </w:rPr>
      </w:pPr>
      <w:r w:rsidRPr="00BD6938">
        <w:rPr>
          <w:rFonts w:ascii="Arial" w:hAnsi="Arial" w:cs="Arial"/>
          <w:sz w:val="20"/>
          <w:szCs w:val="20"/>
        </w:rPr>
        <w:t xml:space="preserve">La Comisión tiene que presentar un informe de evaluación de la efectividad de la Directiva al Consejo y al Parlamento antes del final de 2014 (estudio ya iniciado; liderado por Ecofys, página web </w:t>
      </w:r>
      <w:hyperlink r:id="rId31" w:history="1">
        <w:r w:rsidRPr="00BD6938">
          <w:rPr>
            <w:rStyle w:val="Hipervnculo"/>
            <w:rFonts w:ascii="Arial" w:hAnsi="Arial" w:cs="Arial"/>
            <w:sz w:val="20"/>
            <w:szCs w:val="20"/>
          </w:rPr>
          <w:t>http://www.energylabelevaluation.eu/eu/home/</w:t>
        </w:r>
      </w:hyperlink>
      <w:r w:rsidRPr="00BD6938">
        <w:rPr>
          <w:rFonts w:ascii="Arial" w:hAnsi="Arial" w:cs="Arial"/>
          <w:sz w:val="20"/>
          <w:szCs w:val="20"/>
        </w:rPr>
        <w:t xml:space="preserve"> )</w:t>
      </w:r>
    </w:p>
    <w:p w:rsidR="00EE5F60" w:rsidRPr="009F55DB" w:rsidRDefault="00EE5F60" w:rsidP="00614F18">
      <w:pPr>
        <w:pStyle w:val="Textosinformato"/>
        <w:numPr>
          <w:ilvl w:val="0"/>
          <w:numId w:val="10"/>
        </w:numPr>
        <w:rPr>
          <w:rFonts w:ascii="Arial" w:hAnsi="Arial" w:cs="Arial"/>
          <w:color w:val="FF0000"/>
          <w:sz w:val="20"/>
          <w:szCs w:val="20"/>
          <w:lang w:val="en-US"/>
        </w:rPr>
      </w:pPr>
      <w:r w:rsidRPr="009F55DB">
        <w:rPr>
          <w:rFonts w:ascii="Arial" w:hAnsi="Arial" w:cs="Arial"/>
          <w:color w:val="FF0000"/>
          <w:sz w:val="20"/>
          <w:szCs w:val="20"/>
          <w:lang w:val="en-US"/>
        </w:rPr>
        <w:t>Planning:</w:t>
      </w:r>
    </w:p>
    <w:p w:rsidR="00BD6938" w:rsidRPr="009F55DB" w:rsidRDefault="00EE5F60" w:rsidP="00614F18">
      <w:pPr>
        <w:pStyle w:val="Textosinformato"/>
        <w:numPr>
          <w:ilvl w:val="1"/>
          <w:numId w:val="10"/>
        </w:numPr>
        <w:rPr>
          <w:rFonts w:ascii="Arial" w:hAnsi="Arial" w:cs="Arial"/>
          <w:color w:val="FF0000"/>
          <w:sz w:val="20"/>
          <w:szCs w:val="20"/>
          <w:lang w:val="en-US"/>
        </w:rPr>
      </w:pPr>
      <w:r w:rsidRPr="009F55DB">
        <w:rPr>
          <w:rFonts w:ascii="Arial" w:hAnsi="Arial" w:cs="Arial"/>
          <w:color w:val="FF0000"/>
          <w:sz w:val="20"/>
          <w:szCs w:val="20"/>
          <w:lang w:val="en-US"/>
        </w:rPr>
        <w:t>1st stakeholder meeting</w:t>
      </w:r>
      <w:r w:rsidR="00BD6938" w:rsidRPr="009F55DB">
        <w:rPr>
          <w:rFonts w:ascii="Arial" w:hAnsi="Arial" w:cs="Arial"/>
          <w:color w:val="FF0000"/>
          <w:sz w:val="20"/>
          <w:szCs w:val="20"/>
          <w:lang w:val="en-US"/>
        </w:rPr>
        <w:t xml:space="preserve">: </w:t>
      </w:r>
      <w:r w:rsidRPr="009F55DB">
        <w:rPr>
          <w:rFonts w:ascii="Arial" w:hAnsi="Arial" w:cs="Arial"/>
          <w:color w:val="FF0000"/>
          <w:sz w:val="20"/>
          <w:szCs w:val="20"/>
          <w:lang w:val="en-US"/>
        </w:rPr>
        <w:t>Inform stakeholders, collect views incl. on draft questionnaire</w:t>
      </w:r>
    </w:p>
    <w:p w:rsidR="00EE5F60" w:rsidRPr="009F55DB" w:rsidRDefault="00EE5F60" w:rsidP="00614F18">
      <w:pPr>
        <w:pStyle w:val="Textosinformato"/>
        <w:numPr>
          <w:ilvl w:val="2"/>
          <w:numId w:val="10"/>
        </w:numPr>
        <w:rPr>
          <w:rFonts w:ascii="Arial" w:hAnsi="Arial" w:cs="Arial"/>
          <w:color w:val="FF0000"/>
          <w:sz w:val="20"/>
          <w:szCs w:val="20"/>
          <w:lang w:val="en-US"/>
        </w:rPr>
      </w:pPr>
      <w:r w:rsidRPr="009F55DB">
        <w:rPr>
          <w:rFonts w:ascii="Arial" w:hAnsi="Arial" w:cs="Arial"/>
          <w:color w:val="FF0000"/>
          <w:sz w:val="20"/>
          <w:szCs w:val="20"/>
          <w:lang w:val="en-US"/>
        </w:rPr>
        <w:t>June 27th, 2013</w:t>
      </w:r>
    </w:p>
    <w:p w:rsidR="00EE5F60" w:rsidRPr="009F55DB" w:rsidRDefault="00BD6938" w:rsidP="00614F18">
      <w:pPr>
        <w:pStyle w:val="Textosinformato"/>
        <w:numPr>
          <w:ilvl w:val="1"/>
          <w:numId w:val="10"/>
        </w:numPr>
        <w:rPr>
          <w:rFonts w:ascii="Arial" w:hAnsi="Arial" w:cs="Arial"/>
          <w:color w:val="FF0000"/>
          <w:sz w:val="20"/>
          <w:szCs w:val="20"/>
          <w:lang w:val="en-US"/>
        </w:rPr>
      </w:pPr>
      <w:r w:rsidRPr="009F55DB">
        <w:rPr>
          <w:rFonts w:ascii="Arial" w:hAnsi="Arial" w:cs="Arial"/>
          <w:color w:val="FF0000"/>
          <w:sz w:val="20"/>
          <w:szCs w:val="20"/>
          <w:lang w:val="en-US"/>
        </w:rPr>
        <w:t xml:space="preserve">Online consultation (3 months): </w:t>
      </w:r>
      <w:r w:rsidR="00EE5F60" w:rsidRPr="009F55DB">
        <w:rPr>
          <w:rFonts w:ascii="Arial" w:hAnsi="Arial" w:cs="Arial"/>
          <w:color w:val="FF0000"/>
          <w:sz w:val="20"/>
          <w:szCs w:val="20"/>
          <w:lang w:val="en-US"/>
        </w:rPr>
        <w:t>Collect stakeholder insights</w:t>
      </w:r>
    </w:p>
    <w:p w:rsidR="00EE5F60" w:rsidRPr="009F55DB" w:rsidRDefault="00EE5F60" w:rsidP="00614F18">
      <w:pPr>
        <w:pStyle w:val="Textosinformato"/>
        <w:numPr>
          <w:ilvl w:val="2"/>
          <w:numId w:val="10"/>
        </w:numPr>
        <w:rPr>
          <w:rFonts w:ascii="Arial" w:hAnsi="Arial" w:cs="Arial"/>
          <w:color w:val="FF0000"/>
          <w:sz w:val="20"/>
          <w:szCs w:val="20"/>
          <w:lang w:val="en-US"/>
        </w:rPr>
      </w:pPr>
      <w:r w:rsidRPr="009F55DB">
        <w:rPr>
          <w:rFonts w:ascii="Arial" w:hAnsi="Arial" w:cs="Arial"/>
          <w:color w:val="FF0000"/>
          <w:sz w:val="20"/>
          <w:szCs w:val="20"/>
          <w:lang w:val="en-US"/>
        </w:rPr>
        <w:t>Late August - Late Nov 2013</w:t>
      </w:r>
    </w:p>
    <w:p w:rsidR="00EE5F60" w:rsidRPr="009F55DB" w:rsidRDefault="00EE5F60" w:rsidP="00614F18">
      <w:pPr>
        <w:pStyle w:val="Textosinformato"/>
        <w:numPr>
          <w:ilvl w:val="1"/>
          <w:numId w:val="10"/>
        </w:numPr>
        <w:rPr>
          <w:rFonts w:ascii="Arial" w:hAnsi="Arial" w:cs="Arial"/>
          <w:color w:val="FF0000"/>
          <w:sz w:val="20"/>
          <w:szCs w:val="20"/>
          <w:lang w:val="en-US"/>
        </w:rPr>
      </w:pPr>
      <w:r w:rsidRPr="009F55DB">
        <w:rPr>
          <w:rFonts w:ascii="Arial" w:hAnsi="Arial" w:cs="Arial"/>
          <w:color w:val="FF0000"/>
          <w:sz w:val="20"/>
          <w:szCs w:val="20"/>
          <w:lang w:val="en-US"/>
        </w:rPr>
        <w:t>2nd stakeholder meeting</w:t>
      </w:r>
      <w:r w:rsidR="00BD6938" w:rsidRPr="009F55DB">
        <w:rPr>
          <w:rFonts w:ascii="Arial" w:hAnsi="Arial" w:cs="Arial"/>
          <w:color w:val="FF0000"/>
          <w:sz w:val="20"/>
          <w:szCs w:val="20"/>
          <w:lang w:val="en-US"/>
        </w:rPr>
        <w:t xml:space="preserve">: </w:t>
      </w:r>
      <w:r w:rsidRPr="009F55DB">
        <w:rPr>
          <w:rFonts w:ascii="Arial" w:hAnsi="Arial" w:cs="Arial"/>
          <w:color w:val="FF0000"/>
          <w:sz w:val="20"/>
          <w:szCs w:val="20"/>
          <w:lang w:val="en-US"/>
        </w:rPr>
        <w:t>Collect views on questions raised in consultation</w:t>
      </w:r>
    </w:p>
    <w:p w:rsidR="00EE5F60" w:rsidRPr="009F55DB" w:rsidRDefault="00EE5F60" w:rsidP="00614F18">
      <w:pPr>
        <w:pStyle w:val="Textosinformato"/>
        <w:numPr>
          <w:ilvl w:val="2"/>
          <w:numId w:val="10"/>
        </w:numPr>
        <w:rPr>
          <w:rFonts w:ascii="Arial" w:hAnsi="Arial" w:cs="Arial"/>
          <w:color w:val="FF0000"/>
          <w:sz w:val="20"/>
          <w:szCs w:val="20"/>
          <w:lang w:val="en-US"/>
        </w:rPr>
      </w:pPr>
      <w:r w:rsidRPr="009F55DB">
        <w:rPr>
          <w:rFonts w:ascii="Arial" w:hAnsi="Arial" w:cs="Arial"/>
          <w:color w:val="FF0000"/>
          <w:sz w:val="20"/>
          <w:szCs w:val="20"/>
          <w:lang w:val="en-US"/>
        </w:rPr>
        <w:lastRenderedPageBreak/>
        <w:t>Oct 2013</w:t>
      </w:r>
    </w:p>
    <w:p w:rsidR="00EE5F60" w:rsidRPr="009F55DB" w:rsidRDefault="00EE5F60" w:rsidP="00614F18">
      <w:pPr>
        <w:pStyle w:val="Textosinformato"/>
        <w:numPr>
          <w:ilvl w:val="1"/>
          <w:numId w:val="10"/>
        </w:numPr>
        <w:rPr>
          <w:rFonts w:ascii="Arial" w:hAnsi="Arial" w:cs="Arial"/>
          <w:color w:val="FF0000"/>
          <w:sz w:val="20"/>
          <w:szCs w:val="20"/>
          <w:lang w:val="en-US"/>
        </w:rPr>
      </w:pPr>
      <w:r w:rsidRPr="009F55DB">
        <w:rPr>
          <w:rFonts w:ascii="Arial" w:hAnsi="Arial" w:cs="Arial"/>
          <w:color w:val="FF0000"/>
          <w:sz w:val="20"/>
          <w:szCs w:val="20"/>
          <w:lang w:val="en-US"/>
        </w:rPr>
        <w:t>3rd stakeholder meeting</w:t>
      </w:r>
      <w:r w:rsidR="00BD6938" w:rsidRPr="009F55DB">
        <w:rPr>
          <w:rFonts w:ascii="Arial" w:hAnsi="Arial" w:cs="Arial"/>
          <w:color w:val="FF0000"/>
          <w:sz w:val="20"/>
          <w:szCs w:val="20"/>
          <w:lang w:val="en-US"/>
        </w:rPr>
        <w:t xml:space="preserve">: </w:t>
      </w:r>
      <w:r w:rsidRPr="009F55DB">
        <w:rPr>
          <w:rFonts w:ascii="Arial" w:hAnsi="Arial" w:cs="Arial"/>
          <w:color w:val="FF0000"/>
          <w:sz w:val="20"/>
          <w:szCs w:val="20"/>
          <w:lang w:val="en-US"/>
        </w:rPr>
        <w:t>Present first findings, recommendations</w:t>
      </w:r>
    </w:p>
    <w:p w:rsidR="00EE5F60" w:rsidRPr="009F55DB" w:rsidRDefault="00EE5F60" w:rsidP="00614F18">
      <w:pPr>
        <w:pStyle w:val="Textosinformato"/>
        <w:numPr>
          <w:ilvl w:val="2"/>
          <w:numId w:val="10"/>
        </w:numPr>
        <w:rPr>
          <w:rFonts w:ascii="Arial" w:hAnsi="Arial" w:cs="Arial"/>
          <w:color w:val="FF0000"/>
          <w:sz w:val="20"/>
          <w:szCs w:val="20"/>
          <w:lang w:val="en-US"/>
        </w:rPr>
      </w:pPr>
      <w:r w:rsidRPr="009F55DB">
        <w:rPr>
          <w:rFonts w:ascii="Arial" w:hAnsi="Arial" w:cs="Arial"/>
          <w:color w:val="FF0000"/>
          <w:sz w:val="20"/>
          <w:szCs w:val="20"/>
          <w:lang w:val="en-US"/>
        </w:rPr>
        <w:t>Jan 2014</w:t>
      </w:r>
    </w:p>
    <w:p w:rsidR="00BD6938" w:rsidRPr="009F55DB" w:rsidRDefault="00EE5F60" w:rsidP="00614F18">
      <w:pPr>
        <w:pStyle w:val="Textosinformato"/>
        <w:numPr>
          <w:ilvl w:val="1"/>
          <w:numId w:val="10"/>
        </w:numPr>
        <w:rPr>
          <w:rFonts w:ascii="Arial" w:hAnsi="Arial" w:cs="Arial"/>
          <w:color w:val="FF0000"/>
          <w:sz w:val="20"/>
          <w:szCs w:val="20"/>
          <w:lang w:val="en-US"/>
        </w:rPr>
      </w:pPr>
      <w:r w:rsidRPr="009F55DB">
        <w:rPr>
          <w:rFonts w:ascii="Arial" w:hAnsi="Arial" w:cs="Arial"/>
          <w:color w:val="FF0000"/>
          <w:sz w:val="20"/>
          <w:szCs w:val="20"/>
          <w:lang w:val="en-US"/>
        </w:rPr>
        <w:t>Final technical report</w:t>
      </w:r>
    </w:p>
    <w:p w:rsidR="00EE5F60" w:rsidRPr="009F55DB" w:rsidRDefault="00EE5F60" w:rsidP="00614F18">
      <w:pPr>
        <w:pStyle w:val="Textosinformato"/>
        <w:numPr>
          <w:ilvl w:val="2"/>
          <w:numId w:val="10"/>
        </w:numPr>
        <w:rPr>
          <w:rFonts w:ascii="Arial" w:hAnsi="Arial" w:cs="Arial"/>
          <w:color w:val="FF0000"/>
          <w:sz w:val="20"/>
          <w:szCs w:val="20"/>
          <w:lang w:val="en-US"/>
        </w:rPr>
      </w:pPr>
      <w:r w:rsidRPr="009F55DB">
        <w:rPr>
          <w:rFonts w:ascii="Arial" w:hAnsi="Arial" w:cs="Arial"/>
          <w:color w:val="FF0000"/>
          <w:sz w:val="20"/>
          <w:szCs w:val="20"/>
          <w:lang w:val="en-US"/>
        </w:rPr>
        <w:t>June 2014</w:t>
      </w:r>
    </w:p>
    <w:p w:rsidR="00EE5F60" w:rsidRPr="00BD6938" w:rsidRDefault="00EE5F60" w:rsidP="00411495">
      <w:pPr>
        <w:pStyle w:val="Textosinformato"/>
        <w:numPr>
          <w:ilvl w:val="0"/>
          <w:numId w:val="20"/>
        </w:numPr>
        <w:rPr>
          <w:rFonts w:ascii="Arial" w:hAnsi="Arial" w:cs="Arial"/>
          <w:sz w:val="20"/>
          <w:szCs w:val="20"/>
        </w:rPr>
      </w:pPr>
      <w:r w:rsidRPr="00BD6938">
        <w:rPr>
          <w:rFonts w:ascii="Arial" w:hAnsi="Arial" w:cs="Arial"/>
          <w:sz w:val="20"/>
          <w:szCs w:val="20"/>
        </w:rPr>
        <w:t>La parte central de los trabajos que están realizando está focalizada en el análisis del marcado en si (legibilidad, comprensión por el público, utilidad) que por las características o los equipos contemplados.</w:t>
      </w:r>
    </w:p>
    <w:p w:rsidR="00071AEC" w:rsidRDefault="00071AEC" w:rsidP="00CF5E66">
      <w:pPr>
        <w:jc w:val="both"/>
        <w:rPr>
          <w:lang w:val="es-ES"/>
        </w:rPr>
      </w:pPr>
    </w:p>
    <w:p w:rsidR="00071AEC" w:rsidRPr="00071AEC" w:rsidRDefault="00071AEC" w:rsidP="00071AEC">
      <w:pPr>
        <w:pStyle w:val="Ttulo2"/>
        <w:tabs>
          <w:tab w:val="clear" w:pos="0"/>
          <w:tab w:val="num" w:pos="851"/>
        </w:tabs>
        <w:ind w:left="851" w:hanging="851"/>
        <w:jc w:val="both"/>
        <w:rPr>
          <w:b w:val="0"/>
          <w:i w:val="0"/>
          <w:lang w:val="en-US"/>
        </w:rPr>
      </w:pPr>
      <w:bookmarkStart w:id="42" w:name="_Toc368060322"/>
      <w:bookmarkStart w:id="43" w:name="_Toc404614865"/>
      <w:r w:rsidRPr="00071AEC">
        <w:rPr>
          <w:b w:val="0"/>
          <w:i w:val="0"/>
          <w:lang w:val="en-US"/>
        </w:rPr>
        <w:t xml:space="preserve">Proposal for a Directive on </w:t>
      </w:r>
      <w:r w:rsidR="00B50EB1">
        <w:rPr>
          <w:b w:val="0"/>
          <w:i w:val="0"/>
          <w:lang w:val="en-US"/>
        </w:rPr>
        <w:t xml:space="preserve">deployment of </w:t>
      </w:r>
      <w:r w:rsidRPr="00071AEC">
        <w:rPr>
          <w:b w:val="0"/>
          <w:i w:val="0"/>
          <w:lang w:val="en-US"/>
        </w:rPr>
        <w:t>alternative fuel infrastructures</w:t>
      </w:r>
      <w:bookmarkEnd w:id="42"/>
      <w:r w:rsidR="00B50EB1">
        <w:rPr>
          <w:b w:val="0"/>
          <w:i w:val="0"/>
          <w:lang w:val="en-US"/>
        </w:rPr>
        <w:t>”</w:t>
      </w:r>
      <w:bookmarkEnd w:id="43"/>
    </w:p>
    <w:p w:rsidR="00B81EC5" w:rsidRPr="00B81EC5" w:rsidRDefault="00B81EC5" w:rsidP="00411495">
      <w:pPr>
        <w:pStyle w:val="Prrafodelista"/>
        <w:numPr>
          <w:ilvl w:val="0"/>
          <w:numId w:val="20"/>
        </w:numPr>
        <w:jc w:val="both"/>
        <w:rPr>
          <w:lang w:val="es-ES"/>
        </w:rPr>
      </w:pPr>
      <w:r w:rsidRPr="00B81EC5">
        <w:rPr>
          <w:lang w:val="es-ES"/>
        </w:rPr>
        <w:t>Las referencias de la propuesta de directiv</w:t>
      </w:r>
      <w:r w:rsidR="00E36099">
        <w:rPr>
          <w:lang w:val="es-ES"/>
        </w:rPr>
        <w:t>a</w:t>
      </w:r>
      <w:r w:rsidRPr="00B81EC5">
        <w:rPr>
          <w:lang w:val="es-ES"/>
        </w:rPr>
        <w:t xml:space="preserve"> son las siguientes:</w:t>
      </w:r>
    </w:p>
    <w:p w:rsidR="00B81EC5" w:rsidRDefault="00B81EC5" w:rsidP="00411495">
      <w:pPr>
        <w:pStyle w:val="Prrafodelista"/>
        <w:numPr>
          <w:ilvl w:val="1"/>
          <w:numId w:val="20"/>
        </w:numPr>
        <w:jc w:val="both"/>
        <w:rPr>
          <w:lang w:val="es-ES"/>
        </w:rPr>
      </w:pPr>
      <w:r>
        <w:rPr>
          <w:lang w:val="es-ES"/>
        </w:rPr>
        <w:t>COM (2013) 18</w:t>
      </w:r>
    </w:p>
    <w:p w:rsidR="00B81EC5" w:rsidRPr="00B81EC5" w:rsidRDefault="00B81EC5" w:rsidP="00411495">
      <w:pPr>
        <w:pStyle w:val="Prrafodelista"/>
        <w:numPr>
          <w:ilvl w:val="1"/>
          <w:numId w:val="20"/>
        </w:numPr>
        <w:jc w:val="both"/>
        <w:rPr>
          <w:lang w:val="es-ES"/>
        </w:rPr>
      </w:pPr>
      <w:r>
        <w:rPr>
          <w:lang w:val="es-ES"/>
        </w:rPr>
        <w:t>2013 – 0012 - COD</w:t>
      </w:r>
    </w:p>
    <w:p w:rsidR="00F6015C" w:rsidRPr="00F6015C" w:rsidRDefault="00F6015C" w:rsidP="00411495">
      <w:pPr>
        <w:pStyle w:val="Prrafodelista"/>
        <w:numPr>
          <w:ilvl w:val="0"/>
          <w:numId w:val="20"/>
        </w:numPr>
        <w:jc w:val="both"/>
        <w:rPr>
          <w:lang w:val="es-ES"/>
        </w:rPr>
      </w:pPr>
      <w:r>
        <w:rPr>
          <w:lang w:val="es-ES"/>
        </w:rPr>
        <w:t>La propuesta persigue establecer objetivos concretos, para los EM, en relación a las infraestructuras de transporte, fomentando el uso de energías alternativas: electricidad, hidrógeno, biofueles, gas natural</w:t>
      </w:r>
    </w:p>
    <w:p w:rsidR="00B50EB1" w:rsidRDefault="00B50EB1" w:rsidP="00411495">
      <w:pPr>
        <w:pStyle w:val="Prrafodelista"/>
        <w:numPr>
          <w:ilvl w:val="0"/>
          <w:numId w:val="20"/>
        </w:numPr>
        <w:jc w:val="both"/>
        <w:rPr>
          <w:lang w:val="es-ES"/>
        </w:rPr>
      </w:pPr>
      <w:r w:rsidRPr="00B50EB1">
        <w:rPr>
          <w:lang w:val="es-ES"/>
        </w:rPr>
        <w:t>El artículo 4 hace referencia a la “electrificación del transporte”, y específicamente el artículo 4.4 habla de “Shore Side Electricity (SSE)”</w:t>
      </w:r>
      <w:r>
        <w:rPr>
          <w:lang w:val="es-ES"/>
        </w:rPr>
        <w:t>.</w:t>
      </w:r>
    </w:p>
    <w:p w:rsidR="00B50EB1" w:rsidRPr="00B50EB1" w:rsidRDefault="00E627E0" w:rsidP="00411495">
      <w:pPr>
        <w:pStyle w:val="Prrafodelista"/>
        <w:numPr>
          <w:ilvl w:val="0"/>
          <w:numId w:val="20"/>
        </w:numPr>
        <w:rPr>
          <w:lang w:val="es-ES"/>
        </w:rPr>
      </w:pPr>
      <w:r>
        <w:rPr>
          <w:lang w:val="es-ES"/>
        </w:rPr>
        <w:t>Otras r</w:t>
      </w:r>
      <w:r w:rsidR="00B50EB1" w:rsidRPr="00B50EB1">
        <w:rPr>
          <w:lang w:val="es-ES"/>
        </w:rPr>
        <w:t>egulaciones a nivel de</w:t>
      </w:r>
      <w:r>
        <w:rPr>
          <w:lang w:val="es-ES"/>
        </w:rPr>
        <w:t xml:space="preserve"> </w:t>
      </w:r>
      <w:r w:rsidR="00B50EB1" w:rsidRPr="00B50EB1">
        <w:rPr>
          <w:lang w:val="es-ES"/>
        </w:rPr>
        <w:t>la EU</w:t>
      </w:r>
      <w:r>
        <w:rPr>
          <w:lang w:val="es-ES"/>
        </w:rPr>
        <w:t xml:space="preserve"> son las siguientes:</w:t>
      </w:r>
    </w:p>
    <w:p w:rsidR="00B50EB1" w:rsidRPr="00B50EB1" w:rsidRDefault="00B50EB1" w:rsidP="00411495">
      <w:pPr>
        <w:pStyle w:val="Prrafodelista"/>
        <w:numPr>
          <w:ilvl w:val="1"/>
          <w:numId w:val="20"/>
        </w:numPr>
        <w:rPr>
          <w:lang w:val="es-ES"/>
        </w:rPr>
      </w:pPr>
      <w:r w:rsidRPr="00B50EB1">
        <w:rPr>
          <w:lang w:val="es-ES"/>
        </w:rPr>
        <w:t>Directiva 2005/33/EC, vinculante, con el objetivo del control de emisiones en puertos, y que obliga a los buques que estén en puerto más de 2 horas a que reduzcan sus emisiones de GHG y a la reducción del contenido de azufre de los fueles</w:t>
      </w:r>
    </w:p>
    <w:p w:rsidR="00E627E0" w:rsidRDefault="00B50EB1" w:rsidP="00411495">
      <w:pPr>
        <w:pStyle w:val="Prrafodelista"/>
        <w:numPr>
          <w:ilvl w:val="1"/>
          <w:numId w:val="20"/>
        </w:numPr>
        <w:rPr>
          <w:lang w:val="es-ES"/>
        </w:rPr>
      </w:pPr>
      <w:r w:rsidRPr="00B50EB1">
        <w:rPr>
          <w:lang w:val="es-ES"/>
        </w:rPr>
        <w:t>Recomendación 2006/339/EC, muy general y no vinculante , promueve la instalación de SSE en los puertos, y esboza recomendaciones para la promoción de dicha infraestructura (como r</w:t>
      </w:r>
      <w:r w:rsidR="00E627E0">
        <w:rPr>
          <w:lang w:val="es-ES"/>
        </w:rPr>
        <w:t>educción de impuestos y demás)</w:t>
      </w:r>
    </w:p>
    <w:p w:rsidR="00B50EB1" w:rsidRPr="00B50EB1" w:rsidRDefault="00B50EB1" w:rsidP="00411495">
      <w:pPr>
        <w:pStyle w:val="Prrafodelista"/>
        <w:numPr>
          <w:ilvl w:val="2"/>
          <w:numId w:val="20"/>
        </w:numPr>
        <w:rPr>
          <w:lang w:val="es-ES"/>
        </w:rPr>
      </w:pPr>
      <w:r w:rsidRPr="00B50EB1">
        <w:rPr>
          <w:lang w:val="es-ES"/>
        </w:rPr>
        <w:t xml:space="preserve">También revindica la necesidad de una norma común (que ya existe en la actualidad, </w:t>
      </w:r>
      <w:r w:rsidRPr="00B50EB1">
        <w:rPr>
          <w:lang w:val="es-ES"/>
        </w:rPr>
        <w:lastRenderedPageBreak/>
        <w:t>la ISO-IEC-IEEE 80.005-1, vigente desde 2012)</w:t>
      </w:r>
    </w:p>
    <w:p w:rsidR="00E627E0" w:rsidRPr="00F6015C" w:rsidRDefault="00E627E0" w:rsidP="00411495">
      <w:pPr>
        <w:pStyle w:val="Prrafodelista"/>
        <w:numPr>
          <w:ilvl w:val="0"/>
          <w:numId w:val="20"/>
        </w:numPr>
        <w:jc w:val="both"/>
        <w:rPr>
          <w:lang w:val="es-ES"/>
        </w:rPr>
      </w:pPr>
      <w:r w:rsidRPr="00F6015C">
        <w:rPr>
          <w:lang w:val="es-ES"/>
        </w:rPr>
        <w:t xml:space="preserve">T&amp;D está desarrollando una amplia actividad de lobby, para apoyar las tecnologías conocidas como </w:t>
      </w:r>
      <w:r>
        <w:rPr>
          <w:lang w:val="es-ES"/>
        </w:rPr>
        <w:t>“Shore</w:t>
      </w:r>
      <w:r w:rsidRPr="00F6015C">
        <w:rPr>
          <w:lang w:val="es-ES"/>
        </w:rPr>
        <w:t xml:space="preserve"> Side Electricity (SSE)</w:t>
      </w:r>
      <w:r>
        <w:rPr>
          <w:lang w:val="es-ES"/>
        </w:rPr>
        <w:t>”</w:t>
      </w:r>
    </w:p>
    <w:p w:rsidR="0095675A" w:rsidRPr="00BF522F" w:rsidRDefault="0095675A" w:rsidP="00CF5E66">
      <w:pPr>
        <w:jc w:val="both"/>
        <w:rPr>
          <w:lang w:val="es-ES"/>
        </w:rPr>
      </w:pPr>
    </w:p>
    <w:p w:rsidR="00B50EB1" w:rsidRDefault="00E36099" w:rsidP="00B50EB1">
      <w:pPr>
        <w:pStyle w:val="Ttulo3"/>
        <w:rPr>
          <w:lang w:val="es-ES"/>
        </w:rPr>
      </w:pPr>
      <w:r>
        <w:rPr>
          <w:lang w:val="es-ES"/>
        </w:rPr>
        <w:t>Novedades Noviembre</w:t>
      </w:r>
      <w:r w:rsidR="00B50EB1">
        <w:rPr>
          <w:lang w:val="es-ES"/>
        </w:rPr>
        <w:t>’2014</w:t>
      </w:r>
    </w:p>
    <w:p w:rsidR="00E36099" w:rsidRPr="00AC7BF3" w:rsidRDefault="00E36099" w:rsidP="00E36099">
      <w:pPr>
        <w:jc w:val="both"/>
        <w:rPr>
          <w:rFonts w:asciiTheme="minorHAnsi" w:hAnsiTheme="minorHAnsi"/>
          <w:lang w:val="en-US"/>
        </w:rPr>
      </w:pPr>
      <w:r w:rsidRPr="00AC7BF3">
        <w:rPr>
          <w:rFonts w:asciiTheme="minorHAnsi" w:hAnsiTheme="minorHAnsi"/>
          <w:lang w:val="en-US"/>
        </w:rPr>
        <w:t>ARTICLE 4.4</w:t>
      </w:r>
    </w:p>
    <w:p w:rsidR="00E36099" w:rsidRPr="00AC7BF3" w:rsidRDefault="00E36099" w:rsidP="00E36099">
      <w:pPr>
        <w:jc w:val="both"/>
        <w:rPr>
          <w:rFonts w:asciiTheme="minorHAnsi" w:hAnsiTheme="minorHAnsi"/>
          <w:lang w:val="en-US"/>
        </w:rPr>
      </w:pPr>
      <w:r w:rsidRPr="00AC7BF3">
        <w:rPr>
          <w:rFonts w:asciiTheme="minorHAnsi" w:hAnsiTheme="minorHAnsi"/>
          <w:lang w:val="en-US"/>
        </w:rPr>
        <w:t>Member States shall ensure that the need for shore-side electricity supply for inland waterway vessels and sea-going ships in maritime and inland ports is assessed in their national policy frameworks. Such shore-side electricity supply shall be installed as a priority in ports of the TEN-T Core Network, and in other ports, by 31 December 2025, unless there is no demand, and the costs are disproportionate to the benefits, including environmental benefits.</w:t>
      </w:r>
    </w:p>
    <w:p w:rsidR="00E36099" w:rsidRPr="00AC7BF3" w:rsidRDefault="00E36099" w:rsidP="00E36099">
      <w:pPr>
        <w:jc w:val="both"/>
        <w:rPr>
          <w:rFonts w:asciiTheme="minorHAnsi" w:hAnsiTheme="minorHAnsi"/>
          <w:lang w:val="en-US"/>
        </w:rPr>
      </w:pPr>
    </w:p>
    <w:p w:rsidR="00E36099" w:rsidRPr="00AC7BF3" w:rsidRDefault="00E36099" w:rsidP="00E36099">
      <w:pPr>
        <w:jc w:val="both"/>
        <w:rPr>
          <w:rFonts w:asciiTheme="minorHAnsi" w:hAnsiTheme="minorHAnsi"/>
          <w:lang w:val="en-US"/>
        </w:rPr>
      </w:pPr>
      <w:r w:rsidRPr="00AC7BF3">
        <w:rPr>
          <w:rFonts w:asciiTheme="minorHAnsi" w:hAnsiTheme="minorHAnsi"/>
          <w:lang w:val="en-US"/>
        </w:rPr>
        <w:t>ARTICLE 4.5</w:t>
      </w:r>
    </w:p>
    <w:p w:rsidR="00E36099" w:rsidRPr="00AC7BF3" w:rsidRDefault="00E36099" w:rsidP="00E36099">
      <w:pPr>
        <w:jc w:val="both"/>
        <w:rPr>
          <w:rFonts w:asciiTheme="minorHAnsi" w:hAnsiTheme="minorHAnsi"/>
          <w:lang w:val="en-US"/>
        </w:rPr>
      </w:pPr>
      <w:r w:rsidRPr="00AC7BF3">
        <w:rPr>
          <w:rFonts w:asciiTheme="minorHAnsi" w:hAnsiTheme="minorHAnsi"/>
          <w:lang w:val="en-US"/>
        </w:rPr>
        <w:t>Member States shall ensure that shore-side electricity supply installations for maritime and inland waterway transport deployed or renewed as from [36 months from the date of entry into force of this Directive] comply with the technical specifications set out in Annex III.1.3.</w:t>
      </w:r>
    </w:p>
    <w:p w:rsidR="00E36099" w:rsidRPr="00AC7BF3" w:rsidRDefault="00E36099" w:rsidP="00E36099">
      <w:pPr>
        <w:jc w:val="both"/>
        <w:rPr>
          <w:rFonts w:asciiTheme="minorHAnsi" w:hAnsiTheme="minorHAnsi"/>
          <w:lang w:val="en-US"/>
        </w:rPr>
      </w:pPr>
    </w:p>
    <w:p w:rsidR="00E36099" w:rsidRPr="00AC7BF3" w:rsidRDefault="00E36099" w:rsidP="00E36099">
      <w:pPr>
        <w:jc w:val="both"/>
        <w:rPr>
          <w:rFonts w:asciiTheme="minorHAnsi" w:hAnsiTheme="minorHAnsi"/>
          <w:lang w:val="en-US"/>
        </w:rPr>
      </w:pPr>
      <w:r w:rsidRPr="00AC7BF3">
        <w:rPr>
          <w:rFonts w:asciiTheme="minorHAnsi" w:hAnsiTheme="minorHAnsi"/>
          <w:lang w:val="en-US"/>
        </w:rPr>
        <w:t>ANNEX III.1.3</w:t>
      </w:r>
    </w:p>
    <w:p w:rsidR="00E36099" w:rsidRPr="00AC7BF3" w:rsidRDefault="00E36099" w:rsidP="00E36099">
      <w:pPr>
        <w:jc w:val="both"/>
        <w:rPr>
          <w:rFonts w:asciiTheme="minorHAnsi" w:hAnsiTheme="minorHAnsi"/>
          <w:lang w:val="en-US"/>
        </w:rPr>
      </w:pPr>
      <w:r w:rsidRPr="00AC7BF3">
        <w:rPr>
          <w:rFonts w:asciiTheme="minorHAnsi" w:hAnsiTheme="minorHAnsi"/>
          <w:lang w:val="en-US"/>
        </w:rPr>
        <w:t>Shore-side electricity supply for inland waterway vessels or sea-going ships, including the design, installation and testing of the systems, shall comply with the technical specifications of the IEC/ISO/IEEE 80005-1 standard.</w:t>
      </w:r>
    </w:p>
    <w:p w:rsidR="00E36099" w:rsidRPr="00AC7BF3" w:rsidRDefault="00E36099" w:rsidP="00E36099">
      <w:pPr>
        <w:jc w:val="both"/>
        <w:rPr>
          <w:rFonts w:asciiTheme="minorHAnsi" w:hAnsiTheme="minorHAnsi"/>
          <w:lang w:val="en-US"/>
        </w:rPr>
      </w:pPr>
    </w:p>
    <w:p w:rsidR="00E36099" w:rsidRPr="00AC7BF3" w:rsidRDefault="00E36099" w:rsidP="00E36099">
      <w:pPr>
        <w:jc w:val="both"/>
        <w:rPr>
          <w:rFonts w:asciiTheme="minorHAnsi" w:hAnsiTheme="minorHAnsi"/>
          <w:lang w:val="en-US"/>
        </w:rPr>
      </w:pPr>
      <w:r w:rsidRPr="00AC7BF3">
        <w:rPr>
          <w:rFonts w:asciiTheme="minorHAnsi" w:hAnsiTheme="minorHAnsi"/>
          <w:lang w:val="en-US"/>
        </w:rPr>
        <w:t>All the installations shall comply with the common standard IEC/ISO/IEEE, describing general requirements for high voltage shore connections. This standard describes high voltage shore connection (HVSC) systems, on board the ship and on shore, to supply the ship with electrical power from shore. This standard is applicable to the design, installation and testing of HVSC systems and addresses:</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t>HV shore distribution systems;</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t>shore-to-ship connection and interface equipment;</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t>transformers/reactors;</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t>semiconductor/rotating convertors;</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lastRenderedPageBreak/>
        <w:t xml:space="preserve">ship distribution systems; and </w:t>
      </w:r>
    </w:p>
    <w:p w:rsidR="00E36099" w:rsidRPr="00AC7BF3" w:rsidRDefault="00E36099" w:rsidP="00411495">
      <w:pPr>
        <w:pStyle w:val="Prrafodelista"/>
        <w:numPr>
          <w:ilvl w:val="0"/>
          <w:numId w:val="32"/>
        </w:numPr>
        <w:jc w:val="both"/>
        <w:rPr>
          <w:rFonts w:asciiTheme="minorHAnsi" w:hAnsiTheme="minorHAnsi"/>
          <w:lang w:val="en-US"/>
        </w:rPr>
      </w:pPr>
      <w:r w:rsidRPr="00AC7BF3">
        <w:rPr>
          <w:rFonts w:asciiTheme="minorHAnsi" w:hAnsiTheme="minorHAnsi"/>
          <w:lang w:val="en-US"/>
        </w:rPr>
        <w:t>control, monitoring, interlocking and power management systems.</w:t>
      </w:r>
    </w:p>
    <w:p w:rsidR="00E36099" w:rsidRPr="00AC7BF3" w:rsidRDefault="00E36099" w:rsidP="00E36099">
      <w:pPr>
        <w:jc w:val="both"/>
        <w:rPr>
          <w:rFonts w:asciiTheme="minorHAnsi" w:hAnsiTheme="minorHAnsi"/>
          <w:lang w:val="en-US"/>
        </w:rPr>
      </w:pPr>
      <w:r w:rsidRPr="00AC7BF3">
        <w:rPr>
          <w:rFonts w:asciiTheme="minorHAnsi" w:hAnsiTheme="minorHAnsi"/>
          <w:lang w:val="en-US"/>
        </w:rPr>
        <w:t>It does not apply to the electrical power supply during docking periods, e.g. dry docking and other out of service maintenance and repair.</w:t>
      </w:r>
    </w:p>
    <w:p w:rsidR="00E36099" w:rsidRPr="00AC7BF3" w:rsidRDefault="00E36099" w:rsidP="00E36099">
      <w:pPr>
        <w:jc w:val="both"/>
        <w:rPr>
          <w:rFonts w:asciiTheme="minorHAnsi" w:hAnsiTheme="minorHAnsi"/>
          <w:lang w:val="en-US"/>
        </w:rPr>
      </w:pPr>
    </w:p>
    <w:p w:rsidR="00D237B6" w:rsidRPr="00E36099" w:rsidRDefault="00E36099" w:rsidP="00E36099">
      <w:pPr>
        <w:jc w:val="both"/>
        <w:rPr>
          <w:rFonts w:asciiTheme="minorHAnsi" w:hAnsiTheme="minorHAnsi"/>
          <w:lang w:val="en-US"/>
        </w:rPr>
      </w:pPr>
      <w:r w:rsidRPr="00AC7BF3">
        <w:rPr>
          <w:rFonts w:asciiTheme="minorHAnsi" w:hAnsiTheme="minorHAnsi"/>
          <w:lang w:val="en-US"/>
        </w:rPr>
        <w:t>The need of such a standard was already pinpointed in recommendation 2006/339/EC, which although general, launched the idea of promoting this infrastructure.</w:t>
      </w:r>
    </w:p>
    <w:p w:rsidR="0095675A" w:rsidRPr="0095675A" w:rsidRDefault="0095675A" w:rsidP="0095675A">
      <w:pPr>
        <w:pStyle w:val="Ttulo2"/>
        <w:tabs>
          <w:tab w:val="clear" w:pos="0"/>
          <w:tab w:val="num" w:pos="851"/>
        </w:tabs>
        <w:ind w:left="851" w:hanging="851"/>
        <w:jc w:val="both"/>
        <w:rPr>
          <w:b w:val="0"/>
          <w:i w:val="0"/>
          <w:lang w:val="en-US"/>
        </w:rPr>
      </w:pPr>
      <w:bookmarkStart w:id="44" w:name="_Toc404614866"/>
      <w:r w:rsidRPr="0095675A">
        <w:rPr>
          <w:b w:val="0"/>
          <w:i w:val="0"/>
          <w:lang w:val="en-US"/>
        </w:rPr>
        <w:t>SPV Simple Pressure Vessel Directive 2009/105/EC</w:t>
      </w:r>
      <w:bookmarkEnd w:id="44"/>
      <w:r w:rsidR="00A34B3B">
        <w:rPr>
          <w:b w:val="0"/>
          <w:i w:val="0"/>
          <w:lang w:val="en-US"/>
        </w:rPr>
        <w:t xml:space="preserve"> (</w:t>
      </w:r>
      <w:r w:rsidR="00A34B3B" w:rsidRPr="00A34B3B">
        <w:rPr>
          <w:b w:val="0"/>
          <w:i w:val="0"/>
          <w:color w:val="FF0000"/>
          <w:lang w:val="en-US"/>
        </w:rPr>
        <w:t>NLF 2014/29/UE</w:t>
      </w:r>
      <w:r w:rsidR="00A34B3B">
        <w:rPr>
          <w:b w:val="0"/>
          <w:i w:val="0"/>
          <w:lang w:val="en-US"/>
        </w:rPr>
        <w:t>)</w:t>
      </w:r>
    </w:p>
    <w:p w:rsidR="0095675A" w:rsidRPr="0034356D" w:rsidRDefault="00F5022D" w:rsidP="0095675A">
      <w:pPr>
        <w:pStyle w:val="Textosinformato"/>
        <w:rPr>
          <w:lang w:val="en-US"/>
        </w:rPr>
      </w:pPr>
      <w:hyperlink r:id="rId32" w:history="1">
        <w:r w:rsidR="0095675A" w:rsidRPr="008F369B">
          <w:rPr>
            <w:rStyle w:val="Hipervnculo"/>
            <w:lang w:val="en-US"/>
          </w:rPr>
          <w:t>http://ec.europa.eu/enterprise/sectors/pressure-and-gas/documents/spvd/</w:t>
        </w:r>
      </w:hyperlink>
    </w:p>
    <w:p w:rsidR="0095675A" w:rsidRDefault="0095675A" w:rsidP="0095675A">
      <w:pPr>
        <w:pStyle w:val="Textosinformato"/>
      </w:pPr>
      <w:r w:rsidRPr="008F369B">
        <w:rPr>
          <w:lang w:val="en-US"/>
        </w:rPr>
        <w:tab/>
      </w:r>
      <w:r>
        <w:t>No detectada actividad.</w:t>
      </w:r>
    </w:p>
    <w:p w:rsidR="00A34B3B" w:rsidRPr="00A34B3B" w:rsidRDefault="00A34B3B" w:rsidP="0095675A">
      <w:pPr>
        <w:pStyle w:val="Textosinformato"/>
        <w:rPr>
          <w:color w:val="FF0000"/>
        </w:rPr>
      </w:pPr>
      <w:r w:rsidRPr="00A34B3B">
        <w:rPr>
          <w:color w:val="FF0000"/>
        </w:rPr>
        <w:t>AIRE COMPRIMIDO</w:t>
      </w:r>
    </w:p>
    <w:p w:rsidR="0095675A" w:rsidRDefault="0095675A" w:rsidP="00CF5E66">
      <w:pPr>
        <w:jc w:val="both"/>
        <w:rPr>
          <w:lang w:val="en-US"/>
        </w:rPr>
      </w:pPr>
    </w:p>
    <w:p w:rsidR="003369F5" w:rsidRPr="002E6821" w:rsidRDefault="003369F5" w:rsidP="002E6821">
      <w:pPr>
        <w:pStyle w:val="Ttulo2"/>
        <w:tabs>
          <w:tab w:val="clear" w:pos="0"/>
          <w:tab w:val="num" w:pos="851"/>
        </w:tabs>
        <w:ind w:left="851" w:hanging="851"/>
        <w:jc w:val="both"/>
        <w:rPr>
          <w:b w:val="0"/>
          <w:i w:val="0"/>
          <w:lang w:val="en-US"/>
        </w:rPr>
      </w:pPr>
      <w:bookmarkStart w:id="45" w:name="_Toc404614867"/>
      <w:r w:rsidRPr="002E6821">
        <w:rPr>
          <w:b w:val="0"/>
          <w:i w:val="0"/>
          <w:lang w:val="en-US"/>
        </w:rPr>
        <w:t>General Product Safety Directive</w:t>
      </w:r>
      <w:r w:rsidR="002E6821" w:rsidRPr="002E6821">
        <w:rPr>
          <w:b w:val="0"/>
          <w:i w:val="0"/>
          <w:lang w:val="en-US"/>
        </w:rPr>
        <w:t xml:space="preserve"> (Directive 2001/95/CE</w:t>
      </w:r>
      <w:r w:rsidR="002E6821">
        <w:rPr>
          <w:b w:val="0"/>
          <w:i w:val="0"/>
          <w:lang w:val="en-US"/>
        </w:rPr>
        <w:t>)</w:t>
      </w:r>
      <w:bookmarkEnd w:id="45"/>
    </w:p>
    <w:p w:rsidR="002E6821" w:rsidRPr="002E6821" w:rsidRDefault="002E6821" w:rsidP="002E6821">
      <w:pPr>
        <w:rPr>
          <w:lang w:val="en-US"/>
        </w:rPr>
      </w:pPr>
    </w:p>
    <w:p w:rsidR="002E6821" w:rsidRPr="002E6821" w:rsidRDefault="002E6821" w:rsidP="00411495">
      <w:pPr>
        <w:pStyle w:val="Prrafodelista"/>
        <w:numPr>
          <w:ilvl w:val="0"/>
          <w:numId w:val="30"/>
        </w:numPr>
        <w:rPr>
          <w:lang w:val="es-ES"/>
        </w:rPr>
      </w:pPr>
      <w:r w:rsidRPr="002E6821">
        <w:rPr>
          <w:lang w:val="es-ES"/>
        </w:rPr>
        <w:t>Referencia: http://ec.europa.eu/enterprise/policies/european-standards/harmonised-standards/general-product-safety/index_en.htm.</w:t>
      </w:r>
    </w:p>
    <w:p w:rsidR="002E6821" w:rsidRPr="002E6821" w:rsidRDefault="002E6821" w:rsidP="00411495">
      <w:pPr>
        <w:pStyle w:val="Prrafodelista"/>
        <w:numPr>
          <w:ilvl w:val="1"/>
          <w:numId w:val="30"/>
        </w:numPr>
        <w:rPr>
          <w:lang w:val="es-ES"/>
        </w:rPr>
      </w:pPr>
      <w:r>
        <w:rPr>
          <w:lang w:val="es-ES"/>
        </w:rPr>
        <w:t>Article 251</w:t>
      </w:r>
    </w:p>
    <w:p w:rsidR="003369F5" w:rsidRPr="005625CE" w:rsidRDefault="003369F5" w:rsidP="00411495">
      <w:pPr>
        <w:pStyle w:val="Prrafodelista"/>
        <w:numPr>
          <w:ilvl w:val="0"/>
          <w:numId w:val="20"/>
        </w:numPr>
        <w:jc w:val="both"/>
        <w:rPr>
          <w:lang w:val="es-ES"/>
        </w:rPr>
      </w:pPr>
      <w:r w:rsidRPr="005625CE">
        <w:rPr>
          <w:lang w:val="es-ES"/>
        </w:rPr>
        <w:t xml:space="preserve">Publicada </w:t>
      </w:r>
      <w:r>
        <w:rPr>
          <w:lang w:val="es-ES"/>
        </w:rPr>
        <w:t xml:space="preserve">inicialmente </w:t>
      </w:r>
      <w:r w:rsidRPr="005625CE">
        <w:rPr>
          <w:lang w:val="es-ES"/>
        </w:rPr>
        <w:t xml:space="preserve">en 1992, entró en vigor </w:t>
      </w:r>
      <w:r>
        <w:rPr>
          <w:lang w:val="es-ES"/>
        </w:rPr>
        <w:t>en 1994</w:t>
      </w:r>
    </w:p>
    <w:p w:rsidR="003369F5" w:rsidRPr="005625CE" w:rsidRDefault="003369F5" w:rsidP="00411495">
      <w:pPr>
        <w:pStyle w:val="Prrafodelista"/>
        <w:numPr>
          <w:ilvl w:val="0"/>
          <w:numId w:val="20"/>
        </w:numPr>
        <w:jc w:val="both"/>
        <w:rPr>
          <w:lang w:val="es-ES"/>
        </w:rPr>
      </w:pPr>
      <w:r w:rsidRPr="005625CE">
        <w:rPr>
          <w:lang w:val="es-ES"/>
        </w:rPr>
        <w:t>En 2001 se publicó la version revisada (2001/95/EC), que es aplicable desde Enero de 2004</w:t>
      </w:r>
    </w:p>
    <w:p w:rsidR="003369F5" w:rsidRPr="009E256F" w:rsidRDefault="003369F5" w:rsidP="00411495">
      <w:pPr>
        <w:pStyle w:val="Prrafodelista"/>
        <w:numPr>
          <w:ilvl w:val="0"/>
          <w:numId w:val="20"/>
        </w:numPr>
        <w:jc w:val="both"/>
        <w:rPr>
          <w:lang w:val="es-ES"/>
        </w:rPr>
      </w:pPr>
      <w:r>
        <w:rPr>
          <w:lang w:val="es-ES"/>
        </w:rPr>
        <w:t>N</w:t>
      </w:r>
      <w:r w:rsidRPr="009E256F">
        <w:rPr>
          <w:lang w:val="es-ES"/>
        </w:rPr>
        <w:t>o afecta a nuestros productos, ya que está or</w:t>
      </w:r>
      <w:r>
        <w:rPr>
          <w:lang w:val="es-ES"/>
        </w:rPr>
        <w:t>ientada a productos de consumo.</w:t>
      </w:r>
    </w:p>
    <w:p w:rsidR="003369F5" w:rsidRPr="005625CE" w:rsidRDefault="003369F5" w:rsidP="00411495">
      <w:pPr>
        <w:pStyle w:val="Prrafodelista"/>
        <w:numPr>
          <w:ilvl w:val="0"/>
          <w:numId w:val="20"/>
        </w:numPr>
        <w:jc w:val="both"/>
        <w:rPr>
          <w:lang w:val="es-ES"/>
        </w:rPr>
      </w:pPr>
      <w:r w:rsidRPr="005625CE">
        <w:rPr>
          <w:lang w:val="es-ES"/>
        </w:rPr>
        <w:t>Camp</w:t>
      </w:r>
      <w:r>
        <w:rPr>
          <w:lang w:val="es-ES"/>
        </w:rPr>
        <w:t>o de aplicación de la directiva:</w:t>
      </w:r>
    </w:p>
    <w:p w:rsidR="003369F5" w:rsidRDefault="003369F5" w:rsidP="00411495">
      <w:pPr>
        <w:pStyle w:val="Prrafodelista"/>
        <w:numPr>
          <w:ilvl w:val="1"/>
          <w:numId w:val="20"/>
        </w:numPr>
        <w:jc w:val="both"/>
        <w:rPr>
          <w:lang w:val="es-ES"/>
        </w:rPr>
      </w:pPr>
      <w:r w:rsidRPr="005625CE">
        <w:rPr>
          <w:lang w:val="es-ES"/>
        </w:rPr>
        <w:t xml:space="preserve">Las disposiciones de este real decreto se aplicarán a todo producto destinado al consumidor, incluidos los ofrecidos o puestos a disposición de los consumidores en el marco de una prestación de servicios </w:t>
      </w:r>
      <w:r w:rsidRPr="005625CE">
        <w:rPr>
          <w:lang w:val="es-ES"/>
        </w:rPr>
        <w:lastRenderedPageBreak/>
        <w:t>para que éstos los consuman, manejen o utilicen directamente o que, en condiciones razonablemente previsibles, pueda ser utilizado por el consumidor aunque no le esté destinado, que se le suministre o se ponga a su disposición, a título oneroso o gratuito, en el marco de una actividad comercial, ya sea nuevo, usado o reacondicionado.</w:t>
      </w:r>
    </w:p>
    <w:p w:rsidR="003369F5" w:rsidRPr="009E256F" w:rsidRDefault="003369F5" w:rsidP="00411495">
      <w:pPr>
        <w:pStyle w:val="Prrafodelista"/>
        <w:numPr>
          <w:ilvl w:val="0"/>
          <w:numId w:val="20"/>
        </w:numPr>
        <w:jc w:val="both"/>
        <w:rPr>
          <w:lang w:val="es-ES"/>
        </w:rPr>
      </w:pPr>
      <w:r w:rsidRPr="009E256F">
        <w:rPr>
          <w:lang w:val="es-ES"/>
        </w:rPr>
        <w:t>El principal caballo de batalla es el de dejar claro el campo de aplicación de esta directiva a productos de consumo, ya que hay algunos problemas de colisión con otras directivas como la de</w:t>
      </w:r>
      <w:r>
        <w:rPr>
          <w:lang w:val="es-ES"/>
        </w:rPr>
        <w:t xml:space="preserve"> baja tensión o la de máquinas</w:t>
      </w:r>
    </w:p>
    <w:p w:rsidR="003369F5" w:rsidRPr="003369F5" w:rsidRDefault="003369F5" w:rsidP="00411495">
      <w:pPr>
        <w:pStyle w:val="Prrafodelista"/>
        <w:numPr>
          <w:ilvl w:val="0"/>
          <w:numId w:val="20"/>
        </w:numPr>
        <w:jc w:val="both"/>
        <w:rPr>
          <w:lang w:val="en-US"/>
        </w:rPr>
      </w:pPr>
      <w:r w:rsidRPr="003369F5">
        <w:rPr>
          <w:lang w:val="en-US"/>
        </w:rPr>
        <w:t>Existe un documento titulado “Guidance Document on the Relationship Between the General Product Safety Directive (GPSD) and Certain Sector Directives with Provisions on Product Safety”, de Noviembre de 2003, donde se analiza este solape.</w:t>
      </w:r>
    </w:p>
    <w:p w:rsidR="003369F5" w:rsidRDefault="003369F5" w:rsidP="00411495">
      <w:pPr>
        <w:pStyle w:val="Prrafodelista"/>
        <w:numPr>
          <w:ilvl w:val="0"/>
          <w:numId w:val="20"/>
        </w:numPr>
        <w:jc w:val="both"/>
        <w:rPr>
          <w:lang w:val="es-ES"/>
        </w:rPr>
      </w:pPr>
      <w:r w:rsidRPr="009E256F">
        <w:rPr>
          <w:lang w:val="es-ES"/>
        </w:rPr>
        <w:t>Existe otro problema, relacionado con la inclusión del principio de precaución por parte del parlamento, y su interpretación a nivel nacional.</w:t>
      </w:r>
    </w:p>
    <w:p w:rsidR="003369F5" w:rsidRDefault="003369F5" w:rsidP="00411495">
      <w:pPr>
        <w:pStyle w:val="Prrafodelista"/>
        <w:numPr>
          <w:ilvl w:val="0"/>
          <w:numId w:val="20"/>
        </w:numPr>
        <w:jc w:val="both"/>
        <w:rPr>
          <w:lang w:val="es-ES"/>
        </w:rPr>
      </w:pPr>
      <w:r>
        <w:rPr>
          <w:lang w:val="es-ES"/>
        </w:rPr>
        <w:t>En 2010 se lanzó la revisión de la directiva</w:t>
      </w:r>
    </w:p>
    <w:p w:rsidR="002E6821" w:rsidRDefault="002E6821" w:rsidP="002E6821">
      <w:pPr>
        <w:pStyle w:val="Ttulo3"/>
        <w:rPr>
          <w:lang w:val="es-ES"/>
        </w:rPr>
      </w:pPr>
      <w:r>
        <w:rPr>
          <w:lang w:val="es-ES"/>
        </w:rPr>
        <w:t>Novedades Mayo 14</w:t>
      </w:r>
    </w:p>
    <w:p w:rsidR="002E6821" w:rsidRPr="002E6821" w:rsidRDefault="002E6821" w:rsidP="00411495">
      <w:pPr>
        <w:pStyle w:val="Prrafodelista"/>
        <w:numPr>
          <w:ilvl w:val="0"/>
          <w:numId w:val="20"/>
        </w:numPr>
        <w:jc w:val="both"/>
        <w:rPr>
          <w:lang w:val="es-ES"/>
        </w:rPr>
      </w:pPr>
      <w:bookmarkStart w:id="46" w:name="_Toc372039803"/>
      <w:r w:rsidRPr="002E6821">
        <w:rPr>
          <w:lang w:val="es-ES"/>
        </w:rPr>
        <w:t>Situación revisión directiva :</w:t>
      </w:r>
    </w:p>
    <w:p w:rsidR="002E6821" w:rsidRPr="002E6821" w:rsidRDefault="002E6821" w:rsidP="00411495">
      <w:pPr>
        <w:pStyle w:val="Prrafodelista"/>
        <w:numPr>
          <w:ilvl w:val="1"/>
          <w:numId w:val="20"/>
        </w:numPr>
        <w:jc w:val="both"/>
        <w:rPr>
          <w:lang w:val="es-ES"/>
        </w:rPr>
      </w:pPr>
      <w:r w:rsidRPr="002E6821">
        <w:rPr>
          <w:lang w:val="es-ES"/>
        </w:rPr>
        <w:t>Trabajo: COM(2013) 78: 15/4/14 Aprobada con enmiendas  parlamento europeo 1ª lectura.</w:t>
      </w:r>
    </w:p>
    <w:p w:rsidR="00A07D7A" w:rsidRPr="002E6821" w:rsidRDefault="002E6821" w:rsidP="00411495">
      <w:pPr>
        <w:pStyle w:val="Prrafodelista"/>
        <w:numPr>
          <w:ilvl w:val="1"/>
          <w:numId w:val="20"/>
        </w:numPr>
        <w:jc w:val="both"/>
        <w:rPr>
          <w:lang w:val="es-ES"/>
        </w:rPr>
      </w:pPr>
      <w:r w:rsidRPr="002E6821">
        <w:rPr>
          <w:lang w:val="es-ES"/>
        </w:rPr>
        <w:t>La propuesta se presentará ahora al Consejo para su aprobación final. Una vez aprobada por el Consejo se espera que la nueva legislación entrara en vigor en 2015.</w:t>
      </w:r>
      <w:bookmarkEnd w:id="46"/>
    </w:p>
    <w:p w:rsidR="00A07D7A" w:rsidRPr="00AC1ECC" w:rsidRDefault="00A07D7A" w:rsidP="00A07D7A">
      <w:pPr>
        <w:pStyle w:val="Ttulo2"/>
        <w:tabs>
          <w:tab w:val="clear" w:pos="0"/>
          <w:tab w:val="num" w:pos="851"/>
        </w:tabs>
        <w:ind w:left="851" w:hanging="851"/>
        <w:jc w:val="both"/>
        <w:rPr>
          <w:b w:val="0"/>
          <w:i w:val="0"/>
          <w:lang w:val="es-ES"/>
        </w:rPr>
      </w:pPr>
      <w:bookmarkStart w:id="47" w:name="_Toc404614868"/>
      <w:r w:rsidRPr="00AC1ECC">
        <w:rPr>
          <w:b w:val="0"/>
          <w:i w:val="0"/>
          <w:lang w:val="es-ES"/>
        </w:rPr>
        <w:t>Measuring Instruments Directive</w:t>
      </w:r>
      <w:r w:rsidR="006F02D4">
        <w:rPr>
          <w:b w:val="0"/>
          <w:i w:val="0"/>
          <w:lang w:val="es-ES"/>
        </w:rPr>
        <w:t xml:space="preserve"> (MID</w:t>
      </w:r>
      <w:r>
        <w:rPr>
          <w:b w:val="0"/>
          <w:i w:val="0"/>
          <w:lang w:val="es-ES"/>
        </w:rPr>
        <w:t>)</w:t>
      </w:r>
      <w:bookmarkEnd w:id="47"/>
    </w:p>
    <w:p w:rsidR="00A07D7A" w:rsidRDefault="00A07D7A" w:rsidP="00411495">
      <w:pPr>
        <w:pStyle w:val="Prrafodelista"/>
        <w:numPr>
          <w:ilvl w:val="0"/>
          <w:numId w:val="21"/>
        </w:numPr>
        <w:jc w:val="both"/>
        <w:rPr>
          <w:lang w:val="es-ES"/>
        </w:rPr>
      </w:pPr>
      <w:r>
        <w:rPr>
          <w:lang w:val="es-ES"/>
        </w:rPr>
        <w:t>No aplica a nuestros productos</w:t>
      </w:r>
    </w:p>
    <w:p w:rsidR="006F02D4" w:rsidRDefault="006F02D4" w:rsidP="00411495">
      <w:pPr>
        <w:pStyle w:val="Prrafodelista"/>
        <w:numPr>
          <w:ilvl w:val="0"/>
          <w:numId w:val="21"/>
        </w:numPr>
        <w:jc w:val="both"/>
        <w:rPr>
          <w:lang w:val="es-ES"/>
        </w:rPr>
      </w:pPr>
      <w:r>
        <w:rPr>
          <w:lang w:val="es-ES"/>
        </w:rPr>
        <w:t>Mayo de 2014</w:t>
      </w:r>
    </w:p>
    <w:p w:rsidR="006F02D4" w:rsidRDefault="006F02D4" w:rsidP="00411495">
      <w:pPr>
        <w:pStyle w:val="Prrafodelista"/>
        <w:numPr>
          <w:ilvl w:val="1"/>
          <w:numId w:val="21"/>
        </w:numPr>
        <w:jc w:val="both"/>
        <w:rPr>
          <w:lang w:val="es-ES"/>
        </w:rPr>
      </w:pPr>
      <w:r>
        <w:rPr>
          <w:lang w:val="es-ES"/>
        </w:rPr>
        <w:t>Está a punto de finalizarse la revisión, tras haber terminado el “trialogo”</w:t>
      </w:r>
    </w:p>
    <w:p w:rsidR="001A396A" w:rsidRDefault="001A396A" w:rsidP="001A396A">
      <w:pPr>
        <w:pStyle w:val="Ttulo2"/>
        <w:tabs>
          <w:tab w:val="clear" w:pos="0"/>
          <w:tab w:val="num" w:pos="851"/>
        </w:tabs>
        <w:ind w:left="851" w:hanging="851"/>
        <w:jc w:val="both"/>
        <w:rPr>
          <w:b w:val="0"/>
          <w:i w:val="0"/>
          <w:lang w:val="en-US"/>
        </w:rPr>
      </w:pPr>
      <w:bookmarkStart w:id="48" w:name="_Toc404614869"/>
      <w:r w:rsidRPr="005660F6">
        <w:rPr>
          <w:b w:val="0"/>
          <w:i w:val="0"/>
          <w:lang w:val="en-US"/>
        </w:rPr>
        <w:lastRenderedPageBreak/>
        <w:t>Environmental liability with regard to the prevention and remedying of environmental damage</w:t>
      </w:r>
      <w:bookmarkEnd w:id="48"/>
    </w:p>
    <w:p w:rsidR="001A396A" w:rsidRPr="001A396A" w:rsidRDefault="001A396A" w:rsidP="001A396A">
      <w:pPr>
        <w:jc w:val="both"/>
        <w:rPr>
          <w:lang w:val="es-ES"/>
        </w:rPr>
      </w:pPr>
      <w:r w:rsidRPr="001A396A">
        <w:rPr>
          <w:lang w:val="es-ES"/>
        </w:rPr>
        <w:t>DIRECTIVA 2004/35/CE DEL PARLAMENTO EUROPEO Y DEL CONSEJO</w:t>
      </w:r>
      <w:r>
        <w:rPr>
          <w:lang w:val="es-ES"/>
        </w:rPr>
        <w:t xml:space="preserve">, </w:t>
      </w:r>
      <w:r w:rsidRPr="001A396A">
        <w:rPr>
          <w:lang w:val="es-ES"/>
        </w:rPr>
        <w:t>de 21 de abril de 2004</w:t>
      </w:r>
      <w:r>
        <w:rPr>
          <w:lang w:val="es-ES"/>
        </w:rPr>
        <w:t xml:space="preserve">, </w:t>
      </w:r>
      <w:r w:rsidRPr="001A396A">
        <w:rPr>
          <w:lang w:val="es-ES"/>
        </w:rPr>
        <w:t>sobre responsabilidad medioambiental en relación con la prevención y reparación de daños</w:t>
      </w:r>
      <w:r>
        <w:rPr>
          <w:lang w:val="es-ES"/>
        </w:rPr>
        <w:t xml:space="preserve"> </w:t>
      </w:r>
      <w:r w:rsidRPr="001A396A">
        <w:rPr>
          <w:lang w:val="es-ES"/>
        </w:rPr>
        <w:t>medioambientales</w:t>
      </w:r>
    </w:p>
    <w:p w:rsidR="001A396A" w:rsidRPr="001A396A" w:rsidRDefault="001A396A" w:rsidP="001A396A">
      <w:pPr>
        <w:jc w:val="both"/>
        <w:rPr>
          <w:lang w:val="es-ES"/>
        </w:rPr>
      </w:pPr>
      <w:r w:rsidRPr="001A396A">
        <w:rPr>
          <w:lang w:val="es-ES"/>
        </w:rPr>
        <w:t>En el Anexo III de la Directiva se hace alusión a la todas las actividades enumeradas en el Anexo I de la Directiva 96/61/CE, salvo las instalaciones o partes de instalaciones utilizadas para la investigación, elaboración y prueba de nuevos productos y procesos. La Directiva 96/61/CE relativa a la prevención y control integrados de la contaminación, fue derogada el 17/02/2008, por la Directiva 2008/1/CE relativa a la prevención y control integrados de la contaminación, también derogada recientemente (7/01/2014); derogación diferida por la Directiva 2010/75/UE del parlamento europeo y del consejo de 24 de noviembre de 2010 sobre las emisiones industriales (prevención y control integrados de la contaminación) (versión refundida).</w:t>
      </w:r>
    </w:p>
    <w:p w:rsidR="001A396A" w:rsidRPr="001A396A" w:rsidRDefault="001A396A" w:rsidP="001A396A">
      <w:pPr>
        <w:jc w:val="both"/>
        <w:rPr>
          <w:lang w:val="es-ES"/>
        </w:rPr>
      </w:pPr>
      <w:r w:rsidRPr="001A396A">
        <w:rPr>
          <w:lang w:val="es-ES"/>
        </w:rPr>
        <w:t xml:space="preserve">En la Directiva 2010/75/UE no se mencionan actividades relacionadas con la fabricación de equipos eléctricos de alta tensión, solamente “tratamiento mediante trituradoras de residuos metálicos, incluidos los equipos eléctricos y electrónicos y los vehículos al final de su vida útil, así como sus componentes." </w:t>
      </w:r>
    </w:p>
    <w:p w:rsidR="001A396A" w:rsidRPr="001A396A" w:rsidRDefault="001A396A" w:rsidP="001A396A">
      <w:pPr>
        <w:jc w:val="both"/>
        <w:rPr>
          <w:lang w:val="es-ES"/>
        </w:rPr>
      </w:pPr>
      <w:r w:rsidRPr="001A396A">
        <w:rPr>
          <w:lang w:val="es-ES"/>
        </w:rPr>
        <w:t>DIRECTIVA 2004/35/CE: Traspuesta por Ley 26/2007 de 23 de Octubre, de Responsabilidad Medioambiental. Desarrollada parcialmente por REAL DECRETO 2090/2008, de 22 de diciembre, por el que se aprueba el reglamento de desarrollo parcial de la ley 26/2007, de 23 de octubre, de responsabilidad medioambiental</w:t>
      </w:r>
    </w:p>
    <w:p w:rsidR="001A396A" w:rsidRPr="001A396A" w:rsidRDefault="001A396A" w:rsidP="001A396A">
      <w:pPr>
        <w:jc w:val="both"/>
        <w:rPr>
          <w:lang w:val="es-ES"/>
        </w:rPr>
      </w:pPr>
      <w:r w:rsidRPr="001A396A">
        <w:rPr>
          <w:lang w:val="es-ES"/>
        </w:rPr>
        <w:t>La última legislación publicada al respecto es:</w:t>
      </w:r>
    </w:p>
    <w:p w:rsidR="001A396A" w:rsidRPr="001A396A" w:rsidRDefault="001A396A" w:rsidP="001A396A">
      <w:pPr>
        <w:jc w:val="both"/>
        <w:rPr>
          <w:lang w:val="es-ES"/>
        </w:rPr>
      </w:pPr>
      <w:r w:rsidRPr="001A396A">
        <w:rPr>
          <w:lang w:val="es-ES"/>
        </w:rPr>
        <w:t>LEY 11/2014, DE 3 DE JULIO, POR LA QUE SE MODIFICA LA LEY 26/2007, DE 23 DE OCTUBRE, DE RESPONSABILIDAD MEDIOAMBIENTAL.</w:t>
      </w:r>
    </w:p>
    <w:p w:rsidR="001A396A" w:rsidRPr="00A34B3B" w:rsidRDefault="001A396A" w:rsidP="001A396A">
      <w:pPr>
        <w:jc w:val="both"/>
        <w:rPr>
          <w:color w:val="FF0000"/>
          <w:lang w:val="es-ES"/>
        </w:rPr>
      </w:pPr>
      <w:r w:rsidRPr="00A34B3B">
        <w:rPr>
          <w:color w:val="FF0000"/>
          <w:lang w:val="es-ES"/>
        </w:rPr>
        <w:t>En principio no tiene relación directa con equipos eléctricos de alta tensión.</w:t>
      </w:r>
    </w:p>
    <w:p w:rsidR="001A396A" w:rsidRDefault="001A396A" w:rsidP="001A396A">
      <w:pPr>
        <w:jc w:val="both"/>
        <w:rPr>
          <w:lang w:val="es-ES"/>
        </w:rPr>
      </w:pPr>
    </w:p>
    <w:p w:rsidR="000941D4" w:rsidRPr="00707A01" w:rsidRDefault="000941D4" w:rsidP="000941D4">
      <w:pPr>
        <w:pStyle w:val="Ttulo2"/>
        <w:tabs>
          <w:tab w:val="clear" w:pos="0"/>
          <w:tab w:val="num" w:pos="851"/>
        </w:tabs>
        <w:ind w:left="851" w:hanging="851"/>
        <w:jc w:val="both"/>
        <w:rPr>
          <w:b w:val="0"/>
          <w:i w:val="0"/>
          <w:lang w:val="en-US"/>
        </w:rPr>
      </w:pPr>
      <w:bookmarkStart w:id="49" w:name="_Toc292702252"/>
      <w:bookmarkStart w:id="50" w:name="_Toc404614870"/>
      <w:r w:rsidRPr="00707A01">
        <w:rPr>
          <w:b w:val="0"/>
          <w:i w:val="0"/>
          <w:lang w:val="en-US"/>
        </w:rPr>
        <w:lastRenderedPageBreak/>
        <w:t>Energy Performance of Buildings Directive</w:t>
      </w:r>
      <w:bookmarkEnd w:id="49"/>
      <w:r>
        <w:rPr>
          <w:b w:val="0"/>
          <w:i w:val="0"/>
          <w:lang w:val="en-US"/>
        </w:rPr>
        <w:t xml:space="preserve"> LMS</w:t>
      </w:r>
      <w:bookmarkEnd w:id="50"/>
    </w:p>
    <w:p w:rsidR="000941D4" w:rsidRDefault="000941D4" w:rsidP="00411495">
      <w:pPr>
        <w:pStyle w:val="Prrafodelista"/>
        <w:numPr>
          <w:ilvl w:val="0"/>
          <w:numId w:val="20"/>
        </w:numPr>
        <w:jc w:val="both"/>
        <w:rPr>
          <w:lang w:val="es-ES"/>
        </w:rPr>
      </w:pPr>
      <w:r>
        <w:rPr>
          <w:lang w:val="es-ES"/>
        </w:rPr>
        <w:t>Directive 2010/31/EU</w:t>
      </w:r>
    </w:p>
    <w:p w:rsidR="000941D4" w:rsidRDefault="000941D4" w:rsidP="00411495">
      <w:pPr>
        <w:pStyle w:val="Prrafodelista"/>
        <w:numPr>
          <w:ilvl w:val="0"/>
          <w:numId w:val="20"/>
        </w:numPr>
        <w:jc w:val="both"/>
        <w:rPr>
          <w:lang w:val="es-ES"/>
        </w:rPr>
      </w:pPr>
      <w:r w:rsidRPr="00A03532">
        <w:rPr>
          <w:lang w:val="es-ES"/>
        </w:rPr>
        <w:t>En marzo de 2012 se publicó la regulación 244/2012, que complementa la EPBD con una metodología para el cálculo de los niveles óptimos de los requisitos de “energy performance” de edificios.</w:t>
      </w:r>
    </w:p>
    <w:p w:rsidR="000941D4" w:rsidRPr="009E256F" w:rsidRDefault="000941D4" w:rsidP="00411495">
      <w:pPr>
        <w:pStyle w:val="Prrafodelista"/>
        <w:numPr>
          <w:ilvl w:val="0"/>
          <w:numId w:val="20"/>
        </w:numPr>
        <w:jc w:val="both"/>
        <w:rPr>
          <w:lang w:val="en-US"/>
        </w:rPr>
      </w:pPr>
      <w:r>
        <w:rPr>
          <w:lang w:val="en-US"/>
        </w:rPr>
        <w:t>La CE public en Junio de 2013, el</w:t>
      </w:r>
      <w:r w:rsidRPr="00A03532">
        <w:rPr>
          <w:lang w:val="en-US"/>
        </w:rPr>
        <w:t xml:space="preserve"> estudio titulado “Energy performance certificates in buildings and their impact on transaction prices and </w:t>
      </w:r>
      <w:r>
        <w:rPr>
          <w:lang w:val="en-US"/>
        </w:rPr>
        <w:t>rents in selected EU countries”</w:t>
      </w:r>
    </w:p>
    <w:p w:rsidR="000941D4" w:rsidRPr="009E256F" w:rsidRDefault="000941D4" w:rsidP="00411495">
      <w:pPr>
        <w:pStyle w:val="Prrafodelista"/>
        <w:numPr>
          <w:ilvl w:val="1"/>
          <w:numId w:val="20"/>
        </w:numPr>
        <w:jc w:val="both"/>
        <w:rPr>
          <w:lang w:val="es-ES"/>
        </w:rPr>
      </w:pPr>
      <w:r w:rsidRPr="009E256F">
        <w:rPr>
          <w:lang w:val="es-ES"/>
        </w:rPr>
        <w:t>Se muestra un impacto positive de los “Energy Performance Certificate”</w:t>
      </w:r>
    </w:p>
    <w:p w:rsidR="000941D4" w:rsidRDefault="000941D4" w:rsidP="000941D4">
      <w:pPr>
        <w:pStyle w:val="Ttulo2"/>
        <w:tabs>
          <w:tab w:val="clear" w:pos="0"/>
          <w:tab w:val="num" w:pos="851"/>
        </w:tabs>
        <w:ind w:left="851" w:hanging="851"/>
        <w:jc w:val="both"/>
        <w:rPr>
          <w:b w:val="0"/>
          <w:i w:val="0"/>
          <w:lang w:val="es-ES"/>
        </w:rPr>
      </w:pPr>
      <w:bookmarkStart w:id="51" w:name="_Toc404614871"/>
      <w:r w:rsidRPr="000B5E0E">
        <w:rPr>
          <w:b w:val="0"/>
          <w:i w:val="0"/>
          <w:lang w:val="es-ES"/>
        </w:rPr>
        <w:t>Product Liability Directive</w:t>
      </w:r>
      <w:r>
        <w:rPr>
          <w:b w:val="0"/>
          <w:i w:val="0"/>
          <w:lang w:val="es-ES"/>
        </w:rPr>
        <w:t xml:space="preserve"> MZS</w:t>
      </w:r>
      <w:bookmarkEnd w:id="51"/>
    </w:p>
    <w:p w:rsidR="000941D4" w:rsidRDefault="00994641" w:rsidP="000941D4">
      <w:pPr>
        <w:jc w:val="both"/>
        <w:rPr>
          <w:lang w:val="es-ES"/>
        </w:rPr>
      </w:pPr>
      <w:r>
        <w:rPr>
          <w:lang w:val="es-ES"/>
        </w:rPr>
        <w:t>Directiva original (</w:t>
      </w:r>
      <w:r w:rsidRPr="00994641">
        <w:rPr>
          <w:lang w:val="es-ES"/>
        </w:rPr>
        <w:t>85/374/EEC) enmendada por la directiv</w:t>
      </w:r>
      <w:r>
        <w:rPr>
          <w:lang w:val="es-ES"/>
        </w:rPr>
        <w:t>a</w:t>
      </w:r>
      <w:r w:rsidRPr="00994641">
        <w:rPr>
          <w:lang w:val="es-ES"/>
        </w:rPr>
        <w:t xml:space="preserve"> 1999/34/EC</w:t>
      </w:r>
      <w:r>
        <w:rPr>
          <w:lang w:val="es-ES"/>
        </w:rPr>
        <w:t xml:space="preserve">, y transpuesta en </w:t>
      </w:r>
      <w:r w:rsidR="000941D4" w:rsidRPr="00C02081">
        <w:rPr>
          <w:lang w:val="es-ES"/>
        </w:rPr>
        <w:t xml:space="preserve">España </w:t>
      </w:r>
      <w:r>
        <w:rPr>
          <w:lang w:val="es-ES"/>
        </w:rPr>
        <w:t xml:space="preserve">en </w:t>
      </w:r>
      <w:r w:rsidR="000941D4" w:rsidRPr="00C02081">
        <w:rPr>
          <w:lang w:val="es-ES"/>
        </w:rPr>
        <w:t>la ley 22/1994, de responsabilidad civil por los daños causa</w:t>
      </w:r>
      <w:r w:rsidR="008D6890">
        <w:rPr>
          <w:lang w:val="es-ES"/>
        </w:rPr>
        <w:t>dos por productos defectuosos, refundida en el real decreto legislativo 1/2007</w:t>
      </w:r>
    </w:p>
    <w:p w:rsidR="008D6890" w:rsidRDefault="008D6890" w:rsidP="008D6890">
      <w:pPr>
        <w:pStyle w:val="Prrafodelista"/>
        <w:numPr>
          <w:ilvl w:val="0"/>
          <w:numId w:val="42"/>
        </w:numPr>
        <w:jc w:val="both"/>
        <w:rPr>
          <w:lang w:val="es-ES"/>
        </w:rPr>
      </w:pPr>
      <w:r>
        <w:rPr>
          <w:lang w:val="es-ES"/>
        </w:rPr>
        <w:t>Defectos cubiertos:</w:t>
      </w:r>
    </w:p>
    <w:p w:rsidR="008D6890" w:rsidRDefault="008D6890" w:rsidP="008D6890">
      <w:pPr>
        <w:pStyle w:val="Prrafodelista"/>
        <w:numPr>
          <w:ilvl w:val="1"/>
          <w:numId w:val="42"/>
        </w:numPr>
        <w:jc w:val="both"/>
        <w:rPr>
          <w:lang w:val="es-ES"/>
        </w:rPr>
      </w:pPr>
      <w:r>
        <w:rPr>
          <w:lang w:val="es-ES"/>
        </w:rPr>
        <w:t>Fabricación, diseño e informaci</w:t>
      </w:r>
      <w:r w:rsidR="00D851D2">
        <w:rPr>
          <w:lang w:val="es-ES"/>
        </w:rPr>
        <w:t>ón</w:t>
      </w:r>
    </w:p>
    <w:p w:rsidR="008D6890" w:rsidRPr="008D6890" w:rsidRDefault="008D6890" w:rsidP="008D6890">
      <w:pPr>
        <w:pStyle w:val="Prrafodelista"/>
        <w:numPr>
          <w:ilvl w:val="0"/>
          <w:numId w:val="42"/>
        </w:numPr>
        <w:jc w:val="both"/>
        <w:rPr>
          <w:lang w:val="es-ES"/>
        </w:rPr>
      </w:pPr>
      <w:r w:rsidRPr="008D6890">
        <w:rPr>
          <w:lang w:val="es-ES"/>
        </w:rPr>
        <w:t>Artículo 11. Límite total de la responsabilidad.</w:t>
      </w:r>
    </w:p>
    <w:p w:rsidR="008D6890" w:rsidRDefault="008D6890" w:rsidP="008D6890">
      <w:pPr>
        <w:pStyle w:val="Prrafodelista"/>
        <w:numPr>
          <w:ilvl w:val="1"/>
          <w:numId w:val="42"/>
        </w:numPr>
        <w:jc w:val="both"/>
        <w:rPr>
          <w:lang w:val="es-ES"/>
        </w:rPr>
      </w:pPr>
      <w:r w:rsidRPr="008D6890">
        <w:rPr>
          <w:lang w:val="es-ES"/>
        </w:rPr>
        <w:t>En el régimen de responsabilidad previsto en esta Ley, la responsabilidad civil global del fabricante o importador por muerte y lesiones personales causadas por productos idénticos que presenten el mismo defecto tendrá como límite la cuantía de 10.500.000.000 de pesetas.</w:t>
      </w:r>
    </w:p>
    <w:p w:rsidR="008D6890" w:rsidRPr="008D6890" w:rsidRDefault="008D6890" w:rsidP="008D6890">
      <w:pPr>
        <w:pStyle w:val="Prrafodelista"/>
        <w:numPr>
          <w:ilvl w:val="0"/>
          <w:numId w:val="42"/>
        </w:numPr>
        <w:jc w:val="both"/>
        <w:rPr>
          <w:lang w:val="es-ES"/>
        </w:rPr>
      </w:pPr>
      <w:r w:rsidRPr="008D6890">
        <w:rPr>
          <w:lang w:val="es-ES"/>
        </w:rPr>
        <w:t>Artículo 12. Prescripción de la acción.</w:t>
      </w:r>
    </w:p>
    <w:p w:rsidR="008D6890" w:rsidRDefault="008D6890" w:rsidP="008D6890">
      <w:pPr>
        <w:pStyle w:val="Prrafodelista"/>
        <w:numPr>
          <w:ilvl w:val="1"/>
          <w:numId w:val="42"/>
        </w:numPr>
        <w:jc w:val="both"/>
        <w:rPr>
          <w:lang w:val="es-ES"/>
        </w:rPr>
      </w:pPr>
      <w:r w:rsidRPr="008D6890">
        <w:rPr>
          <w:lang w:val="es-ES"/>
        </w:rPr>
        <w:t>1. La acción de reparación de los daños y perjuicios previstos en esta Ley prescribirá a los tres años, a contar desde la fecha en que el perjudicado sufrió el perjuicio</w:t>
      </w:r>
    </w:p>
    <w:p w:rsidR="008D6890" w:rsidRPr="008D6890" w:rsidRDefault="008D6890" w:rsidP="008D6890">
      <w:pPr>
        <w:pStyle w:val="Prrafodelista"/>
        <w:numPr>
          <w:ilvl w:val="0"/>
          <w:numId w:val="42"/>
        </w:numPr>
        <w:jc w:val="both"/>
        <w:rPr>
          <w:lang w:val="es-ES"/>
        </w:rPr>
      </w:pPr>
      <w:r w:rsidRPr="008D6890">
        <w:rPr>
          <w:lang w:val="es-ES"/>
        </w:rPr>
        <w:t>Artículo 13. Extinción de la responsabilidad.</w:t>
      </w:r>
    </w:p>
    <w:p w:rsidR="008D6890" w:rsidRPr="008D6890" w:rsidRDefault="008D6890" w:rsidP="008D6890">
      <w:pPr>
        <w:pStyle w:val="Prrafodelista"/>
        <w:numPr>
          <w:ilvl w:val="1"/>
          <w:numId w:val="42"/>
        </w:numPr>
        <w:jc w:val="both"/>
        <w:rPr>
          <w:lang w:val="es-ES"/>
        </w:rPr>
      </w:pPr>
      <w:r w:rsidRPr="008D6890">
        <w:rPr>
          <w:lang w:val="es-ES"/>
        </w:rPr>
        <w:t>Los derechos reconocidos al perjudicado en esta Ley se extinguirán transcurridos diez años, a contar desde la fecha en que se hubiera puesto en circulación el producto concreto causante del daño</w:t>
      </w:r>
    </w:p>
    <w:p w:rsidR="00994641" w:rsidRDefault="00994641" w:rsidP="000941D4">
      <w:pPr>
        <w:jc w:val="both"/>
        <w:rPr>
          <w:lang w:val="es-ES"/>
        </w:rPr>
      </w:pPr>
    </w:p>
    <w:p w:rsidR="000253B8" w:rsidRPr="000253B8" w:rsidRDefault="000253B8" w:rsidP="000253B8">
      <w:pPr>
        <w:jc w:val="both"/>
        <w:rPr>
          <w:lang w:val="en-US"/>
        </w:rPr>
      </w:pPr>
      <w:r w:rsidRPr="000253B8">
        <w:rPr>
          <w:lang w:val="en-US"/>
        </w:rPr>
        <w:lastRenderedPageBreak/>
        <w:t>Council Directive 85/374/EEC of 25 July 1985 on the approximation of the laws, regulations and administrative provisions of the Member States concerning liability for defective</w:t>
      </w:r>
      <w:r w:rsidR="00994641">
        <w:rPr>
          <w:lang w:val="en-US"/>
        </w:rPr>
        <w:t xml:space="preserve"> products.</w:t>
      </w:r>
    </w:p>
    <w:p w:rsidR="000253B8" w:rsidRPr="000253B8" w:rsidRDefault="000253B8" w:rsidP="000253B8">
      <w:pPr>
        <w:jc w:val="both"/>
        <w:rPr>
          <w:lang w:val="en-US"/>
        </w:rPr>
      </w:pPr>
    </w:p>
    <w:p w:rsidR="000253B8" w:rsidRPr="000253B8" w:rsidRDefault="000253B8" w:rsidP="000253B8">
      <w:pPr>
        <w:jc w:val="both"/>
        <w:rPr>
          <w:lang w:val="en-US"/>
        </w:rPr>
      </w:pPr>
      <w:r w:rsidRPr="000253B8">
        <w:rPr>
          <w:lang w:val="en-US"/>
        </w:rPr>
        <w:t>SUMMARY</w:t>
      </w:r>
    </w:p>
    <w:p w:rsidR="000253B8" w:rsidRPr="000253B8" w:rsidRDefault="000253B8" w:rsidP="00411495">
      <w:pPr>
        <w:pStyle w:val="Prrafodelista"/>
        <w:numPr>
          <w:ilvl w:val="0"/>
          <w:numId w:val="39"/>
        </w:numPr>
        <w:jc w:val="both"/>
        <w:rPr>
          <w:lang w:val="en-US"/>
        </w:rPr>
      </w:pPr>
      <w:r w:rsidRPr="000253B8">
        <w:rPr>
          <w:lang w:val="en-US"/>
        </w:rPr>
        <w:t>This Directive establishes the principle of liability without fault applicable to European producers. Where a defective product * causes damage to a consumer, the producer may be liable.</w:t>
      </w:r>
    </w:p>
    <w:p w:rsidR="000253B8" w:rsidRPr="000253B8" w:rsidRDefault="000253B8" w:rsidP="00411495">
      <w:pPr>
        <w:pStyle w:val="Prrafodelista"/>
        <w:numPr>
          <w:ilvl w:val="0"/>
          <w:numId w:val="39"/>
        </w:numPr>
        <w:jc w:val="both"/>
        <w:rPr>
          <w:lang w:val="en-US"/>
        </w:rPr>
      </w:pPr>
      <w:r w:rsidRPr="000253B8">
        <w:rPr>
          <w:lang w:val="en-US"/>
        </w:rPr>
        <w:t>Producer is taken to mean:</w:t>
      </w:r>
    </w:p>
    <w:p w:rsidR="000253B8" w:rsidRPr="000253B8" w:rsidRDefault="000253B8" w:rsidP="00411495">
      <w:pPr>
        <w:pStyle w:val="Prrafodelista"/>
        <w:numPr>
          <w:ilvl w:val="1"/>
          <w:numId w:val="39"/>
        </w:numPr>
        <w:jc w:val="both"/>
        <w:rPr>
          <w:lang w:val="en-US"/>
        </w:rPr>
      </w:pPr>
      <w:r w:rsidRPr="000253B8">
        <w:rPr>
          <w:lang w:val="en-US"/>
        </w:rPr>
        <w:t>the producer of a raw material, the manufacturer of a finished product or of a component part;</w:t>
      </w:r>
    </w:p>
    <w:p w:rsidR="000253B8" w:rsidRPr="000253B8" w:rsidRDefault="000253B8" w:rsidP="00411495">
      <w:pPr>
        <w:pStyle w:val="Prrafodelista"/>
        <w:numPr>
          <w:ilvl w:val="1"/>
          <w:numId w:val="39"/>
        </w:numPr>
        <w:jc w:val="both"/>
        <w:rPr>
          <w:lang w:val="en-US"/>
        </w:rPr>
      </w:pPr>
      <w:r w:rsidRPr="000253B8">
        <w:rPr>
          <w:lang w:val="en-US"/>
        </w:rPr>
        <w:t>the importer of the product;</w:t>
      </w:r>
    </w:p>
    <w:p w:rsidR="000253B8" w:rsidRPr="000253B8" w:rsidRDefault="000253B8" w:rsidP="00411495">
      <w:pPr>
        <w:pStyle w:val="Prrafodelista"/>
        <w:numPr>
          <w:ilvl w:val="1"/>
          <w:numId w:val="39"/>
        </w:numPr>
        <w:jc w:val="both"/>
        <w:rPr>
          <w:lang w:val="en-US"/>
        </w:rPr>
      </w:pPr>
      <w:r w:rsidRPr="000253B8">
        <w:rPr>
          <w:lang w:val="en-US"/>
        </w:rPr>
        <w:t>any person putting their name, trade mark or other distinguishing feature on the product;</w:t>
      </w:r>
    </w:p>
    <w:p w:rsidR="000253B8" w:rsidRPr="000253B8" w:rsidRDefault="000253B8" w:rsidP="00411495">
      <w:pPr>
        <w:pStyle w:val="Prrafodelista"/>
        <w:numPr>
          <w:ilvl w:val="1"/>
          <w:numId w:val="39"/>
        </w:numPr>
        <w:jc w:val="both"/>
        <w:rPr>
          <w:lang w:val="en-US"/>
        </w:rPr>
      </w:pPr>
      <w:r w:rsidRPr="000253B8">
        <w:rPr>
          <w:lang w:val="en-US"/>
        </w:rPr>
        <w:t>any person supplying a product whose producer or importer cannot be identified.</w:t>
      </w:r>
    </w:p>
    <w:p w:rsidR="000253B8" w:rsidRPr="000253B8" w:rsidRDefault="000253B8" w:rsidP="000253B8">
      <w:pPr>
        <w:jc w:val="both"/>
        <w:rPr>
          <w:lang w:val="en-US"/>
        </w:rPr>
      </w:pPr>
    </w:p>
    <w:p w:rsidR="000253B8" w:rsidRPr="000253B8" w:rsidRDefault="000253B8" w:rsidP="00411495">
      <w:pPr>
        <w:pStyle w:val="Prrafodelista"/>
        <w:numPr>
          <w:ilvl w:val="0"/>
          <w:numId w:val="39"/>
        </w:numPr>
        <w:jc w:val="both"/>
        <w:rPr>
          <w:lang w:val="en-US"/>
        </w:rPr>
      </w:pPr>
      <w:r w:rsidRPr="000253B8">
        <w:rPr>
          <w:lang w:val="en-US"/>
        </w:rPr>
        <w:t>Where two or more persons are liable for the same damage, they shall be liable jointly and severally.</w:t>
      </w:r>
    </w:p>
    <w:p w:rsidR="000253B8" w:rsidRPr="000253B8" w:rsidRDefault="000253B8" w:rsidP="000253B8">
      <w:pPr>
        <w:jc w:val="both"/>
        <w:rPr>
          <w:lang w:val="en-US"/>
        </w:rPr>
      </w:pPr>
    </w:p>
    <w:p w:rsidR="000253B8" w:rsidRPr="000253B8" w:rsidRDefault="000253B8" w:rsidP="000253B8">
      <w:pPr>
        <w:jc w:val="both"/>
        <w:rPr>
          <w:lang w:val="en-US"/>
        </w:rPr>
      </w:pPr>
      <w:r w:rsidRPr="000253B8">
        <w:rPr>
          <w:lang w:val="en-US"/>
        </w:rPr>
        <w:t xml:space="preserve">Proof of damage </w:t>
      </w:r>
    </w:p>
    <w:p w:rsidR="000253B8" w:rsidRPr="000253B8" w:rsidRDefault="000253B8" w:rsidP="00411495">
      <w:pPr>
        <w:pStyle w:val="Prrafodelista"/>
        <w:numPr>
          <w:ilvl w:val="0"/>
          <w:numId w:val="40"/>
        </w:numPr>
        <w:jc w:val="both"/>
        <w:rPr>
          <w:lang w:val="en-US"/>
        </w:rPr>
      </w:pPr>
      <w:r w:rsidRPr="000253B8">
        <w:rPr>
          <w:lang w:val="en-US"/>
        </w:rPr>
        <w:t>A product is defective where it does not provide the safety which a person is entitled to expect, taking all circumstances into account, including:</w:t>
      </w:r>
    </w:p>
    <w:p w:rsidR="000253B8" w:rsidRPr="000253B8" w:rsidRDefault="000253B8" w:rsidP="00411495">
      <w:pPr>
        <w:pStyle w:val="Prrafodelista"/>
        <w:numPr>
          <w:ilvl w:val="1"/>
          <w:numId w:val="40"/>
        </w:numPr>
        <w:jc w:val="both"/>
        <w:rPr>
          <w:lang w:val="en-US"/>
        </w:rPr>
      </w:pPr>
      <w:r w:rsidRPr="000253B8">
        <w:rPr>
          <w:lang w:val="en-US"/>
        </w:rPr>
        <w:t>the presentation of the product;</w:t>
      </w:r>
    </w:p>
    <w:p w:rsidR="000253B8" w:rsidRPr="000253B8" w:rsidRDefault="000253B8" w:rsidP="00411495">
      <w:pPr>
        <w:pStyle w:val="Prrafodelista"/>
        <w:numPr>
          <w:ilvl w:val="1"/>
          <w:numId w:val="40"/>
        </w:numPr>
        <w:jc w:val="both"/>
        <w:rPr>
          <w:lang w:val="en-US"/>
        </w:rPr>
      </w:pPr>
      <w:r w:rsidRPr="000253B8">
        <w:rPr>
          <w:lang w:val="en-US"/>
        </w:rPr>
        <w:t>the reasonable use of the product;</w:t>
      </w:r>
    </w:p>
    <w:p w:rsidR="000253B8" w:rsidRPr="000253B8" w:rsidRDefault="000253B8" w:rsidP="00411495">
      <w:pPr>
        <w:pStyle w:val="Prrafodelista"/>
        <w:numPr>
          <w:ilvl w:val="1"/>
          <w:numId w:val="40"/>
        </w:numPr>
        <w:jc w:val="both"/>
        <w:rPr>
          <w:lang w:val="en-US"/>
        </w:rPr>
      </w:pPr>
      <w:r w:rsidRPr="000253B8">
        <w:rPr>
          <w:lang w:val="en-US"/>
        </w:rPr>
        <w:t>the time when the product was put into circulation.</w:t>
      </w:r>
    </w:p>
    <w:p w:rsidR="000253B8" w:rsidRPr="000253B8" w:rsidRDefault="000253B8" w:rsidP="00411495">
      <w:pPr>
        <w:pStyle w:val="Prrafodelista"/>
        <w:numPr>
          <w:ilvl w:val="0"/>
          <w:numId w:val="40"/>
        </w:numPr>
        <w:jc w:val="both"/>
        <w:rPr>
          <w:lang w:val="en-US"/>
        </w:rPr>
      </w:pPr>
      <w:r w:rsidRPr="000253B8">
        <w:rPr>
          <w:lang w:val="en-US"/>
        </w:rPr>
        <w:t>The injured person carries the burden of proof. He must prove:</w:t>
      </w:r>
    </w:p>
    <w:p w:rsidR="000253B8" w:rsidRPr="000253B8" w:rsidRDefault="000253B8" w:rsidP="00411495">
      <w:pPr>
        <w:pStyle w:val="Prrafodelista"/>
        <w:numPr>
          <w:ilvl w:val="1"/>
          <w:numId w:val="40"/>
        </w:numPr>
        <w:jc w:val="both"/>
        <w:rPr>
          <w:lang w:val="en-US"/>
        </w:rPr>
      </w:pPr>
      <w:r w:rsidRPr="000253B8">
        <w:rPr>
          <w:lang w:val="en-US"/>
        </w:rPr>
        <w:t>the actual damage;</w:t>
      </w:r>
    </w:p>
    <w:p w:rsidR="000253B8" w:rsidRPr="000253B8" w:rsidRDefault="000253B8" w:rsidP="00411495">
      <w:pPr>
        <w:pStyle w:val="Prrafodelista"/>
        <w:numPr>
          <w:ilvl w:val="1"/>
          <w:numId w:val="40"/>
        </w:numPr>
        <w:jc w:val="both"/>
        <w:rPr>
          <w:lang w:val="en-US"/>
        </w:rPr>
      </w:pPr>
      <w:r w:rsidRPr="000253B8">
        <w:rPr>
          <w:lang w:val="en-US"/>
        </w:rPr>
        <w:t>the defect in the product;</w:t>
      </w:r>
    </w:p>
    <w:p w:rsidR="000253B8" w:rsidRPr="000253B8" w:rsidRDefault="000253B8" w:rsidP="00411495">
      <w:pPr>
        <w:pStyle w:val="Prrafodelista"/>
        <w:numPr>
          <w:ilvl w:val="1"/>
          <w:numId w:val="40"/>
        </w:numPr>
        <w:jc w:val="both"/>
        <w:rPr>
          <w:lang w:val="en-US"/>
        </w:rPr>
      </w:pPr>
      <w:r w:rsidRPr="000253B8">
        <w:rPr>
          <w:lang w:val="en-US"/>
        </w:rPr>
        <w:t>the causal relationship between damage and defect.</w:t>
      </w:r>
    </w:p>
    <w:p w:rsidR="000253B8" w:rsidRPr="000253B8" w:rsidRDefault="000253B8" w:rsidP="00411495">
      <w:pPr>
        <w:pStyle w:val="Prrafodelista"/>
        <w:numPr>
          <w:ilvl w:val="0"/>
          <w:numId w:val="40"/>
        </w:numPr>
        <w:jc w:val="both"/>
        <w:rPr>
          <w:lang w:val="en-US"/>
        </w:rPr>
      </w:pPr>
      <w:r w:rsidRPr="000253B8">
        <w:rPr>
          <w:lang w:val="en-US"/>
        </w:rPr>
        <w:t>However, he does not have to prove the negligence or fault of the producer or importer.</w:t>
      </w:r>
    </w:p>
    <w:p w:rsidR="000253B8" w:rsidRPr="000253B8" w:rsidRDefault="000253B8" w:rsidP="000253B8">
      <w:pPr>
        <w:jc w:val="both"/>
        <w:rPr>
          <w:lang w:val="en-US"/>
        </w:rPr>
      </w:pPr>
    </w:p>
    <w:p w:rsidR="000253B8" w:rsidRPr="000253B8" w:rsidRDefault="000253B8" w:rsidP="000253B8">
      <w:pPr>
        <w:jc w:val="both"/>
        <w:rPr>
          <w:lang w:val="en-US"/>
        </w:rPr>
      </w:pPr>
      <w:r w:rsidRPr="000253B8">
        <w:rPr>
          <w:lang w:val="en-US"/>
        </w:rPr>
        <w:t xml:space="preserve">Exemption of producers from liability </w:t>
      </w:r>
    </w:p>
    <w:p w:rsidR="000253B8" w:rsidRPr="000253B8" w:rsidRDefault="000253B8" w:rsidP="00411495">
      <w:pPr>
        <w:pStyle w:val="Prrafodelista"/>
        <w:numPr>
          <w:ilvl w:val="0"/>
          <w:numId w:val="38"/>
        </w:numPr>
        <w:jc w:val="both"/>
        <w:rPr>
          <w:lang w:val="en-US"/>
        </w:rPr>
      </w:pPr>
      <w:r w:rsidRPr="000253B8">
        <w:rPr>
          <w:lang w:val="en-US"/>
        </w:rPr>
        <w:t>The producer is not recognised as liable if he proves that:</w:t>
      </w:r>
    </w:p>
    <w:p w:rsidR="000253B8" w:rsidRPr="000253B8" w:rsidRDefault="000253B8" w:rsidP="00411495">
      <w:pPr>
        <w:pStyle w:val="Prrafodelista"/>
        <w:numPr>
          <w:ilvl w:val="1"/>
          <w:numId w:val="38"/>
        </w:numPr>
        <w:jc w:val="both"/>
        <w:rPr>
          <w:lang w:val="en-US"/>
        </w:rPr>
      </w:pPr>
      <w:r w:rsidRPr="000253B8">
        <w:rPr>
          <w:lang w:val="en-US"/>
        </w:rPr>
        <w:t>he did not put the product into circulation;</w:t>
      </w:r>
    </w:p>
    <w:p w:rsidR="000253B8" w:rsidRPr="000253B8" w:rsidRDefault="000253B8" w:rsidP="00411495">
      <w:pPr>
        <w:pStyle w:val="Prrafodelista"/>
        <w:numPr>
          <w:ilvl w:val="1"/>
          <w:numId w:val="38"/>
        </w:numPr>
        <w:jc w:val="both"/>
        <w:rPr>
          <w:lang w:val="en-US"/>
        </w:rPr>
      </w:pPr>
      <w:r w:rsidRPr="000253B8">
        <w:rPr>
          <w:lang w:val="en-US"/>
        </w:rPr>
        <w:t>the defect appeared after the product was put into circulation;</w:t>
      </w:r>
    </w:p>
    <w:p w:rsidR="000253B8" w:rsidRPr="000253B8" w:rsidRDefault="000253B8" w:rsidP="00411495">
      <w:pPr>
        <w:pStyle w:val="Prrafodelista"/>
        <w:numPr>
          <w:ilvl w:val="1"/>
          <w:numId w:val="38"/>
        </w:numPr>
        <w:jc w:val="both"/>
        <w:rPr>
          <w:lang w:val="en-US"/>
        </w:rPr>
      </w:pPr>
      <w:r w:rsidRPr="000253B8">
        <w:rPr>
          <w:lang w:val="en-US"/>
        </w:rPr>
        <w:lastRenderedPageBreak/>
        <w:t>the product was not manufactured to be sold or distributed for profit;</w:t>
      </w:r>
    </w:p>
    <w:p w:rsidR="000253B8" w:rsidRPr="000253B8" w:rsidRDefault="000253B8" w:rsidP="00411495">
      <w:pPr>
        <w:pStyle w:val="Prrafodelista"/>
        <w:numPr>
          <w:ilvl w:val="1"/>
          <w:numId w:val="38"/>
        </w:numPr>
        <w:jc w:val="both"/>
        <w:rPr>
          <w:lang w:val="en-US"/>
        </w:rPr>
      </w:pPr>
      <w:r w:rsidRPr="000253B8">
        <w:rPr>
          <w:lang w:val="en-US"/>
        </w:rPr>
        <w:t>the product was neither manufactured nor distributed in the course of his business;</w:t>
      </w:r>
    </w:p>
    <w:p w:rsidR="000253B8" w:rsidRPr="000253B8" w:rsidRDefault="000253B8" w:rsidP="00411495">
      <w:pPr>
        <w:pStyle w:val="Prrafodelista"/>
        <w:numPr>
          <w:ilvl w:val="1"/>
          <w:numId w:val="38"/>
        </w:numPr>
        <w:jc w:val="both"/>
        <w:rPr>
          <w:lang w:val="en-US"/>
        </w:rPr>
      </w:pPr>
      <w:r w:rsidRPr="000253B8">
        <w:rPr>
          <w:lang w:val="en-US"/>
        </w:rPr>
        <w:t>the defect is due to compliance of the product with mandatory regulations issued by the public authorities;</w:t>
      </w:r>
    </w:p>
    <w:p w:rsidR="000253B8" w:rsidRPr="000253B8" w:rsidRDefault="000253B8" w:rsidP="00411495">
      <w:pPr>
        <w:pStyle w:val="Prrafodelista"/>
        <w:numPr>
          <w:ilvl w:val="1"/>
          <w:numId w:val="38"/>
        </w:numPr>
        <w:jc w:val="both"/>
        <w:rPr>
          <w:lang w:val="en-US"/>
        </w:rPr>
      </w:pPr>
      <w:r w:rsidRPr="000253B8">
        <w:rPr>
          <w:lang w:val="en-US"/>
        </w:rPr>
        <w:t>the state of scientific and technical knowledge at the time when the product was put into circulation was insufficient to identify the defect. On this point, the Member States are permitted to take measures by way of derogation;</w:t>
      </w:r>
    </w:p>
    <w:p w:rsidR="000253B8" w:rsidRPr="000253B8" w:rsidRDefault="000253B8" w:rsidP="00411495">
      <w:pPr>
        <w:pStyle w:val="Prrafodelista"/>
        <w:numPr>
          <w:ilvl w:val="1"/>
          <w:numId w:val="38"/>
        </w:numPr>
        <w:jc w:val="both"/>
        <w:rPr>
          <w:lang w:val="en-US"/>
        </w:rPr>
      </w:pPr>
      <w:r w:rsidRPr="000253B8">
        <w:rPr>
          <w:lang w:val="en-US"/>
        </w:rPr>
        <w:t>the defect of a component was caused during the manufacture of a final product.</w:t>
      </w:r>
    </w:p>
    <w:p w:rsidR="000253B8" w:rsidRPr="000253B8" w:rsidRDefault="000253B8" w:rsidP="00411495">
      <w:pPr>
        <w:pStyle w:val="Prrafodelista"/>
        <w:numPr>
          <w:ilvl w:val="0"/>
          <w:numId w:val="38"/>
        </w:numPr>
        <w:jc w:val="both"/>
        <w:rPr>
          <w:lang w:val="en-US"/>
        </w:rPr>
      </w:pPr>
      <w:r w:rsidRPr="000253B8">
        <w:rPr>
          <w:lang w:val="en-US"/>
        </w:rPr>
        <w:t>When the injured person is at fault, the producer's liability may be reduced.</w:t>
      </w:r>
    </w:p>
    <w:p w:rsidR="000253B8" w:rsidRPr="000253B8" w:rsidRDefault="000253B8" w:rsidP="000253B8">
      <w:pPr>
        <w:jc w:val="both"/>
        <w:rPr>
          <w:lang w:val="en-US"/>
        </w:rPr>
      </w:pPr>
    </w:p>
    <w:p w:rsidR="000253B8" w:rsidRPr="000253B8" w:rsidRDefault="000253B8" w:rsidP="000253B8">
      <w:pPr>
        <w:jc w:val="both"/>
        <w:rPr>
          <w:lang w:val="en-US"/>
        </w:rPr>
      </w:pPr>
      <w:r w:rsidRPr="000253B8">
        <w:rPr>
          <w:lang w:val="en-US"/>
        </w:rPr>
        <w:t xml:space="preserve">Damage covered </w:t>
      </w:r>
    </w:p>
    <w:p w:rsidR="000253B8" w:rsidRPr="000253B8" w:rsidRDefault="000253B8" w:rsidP="00411495">
      <w:pPr>
        <w:pStyle w:val="Prrafodelista"/>
        <w:numPr>
          <w:ilvl w:val="0"/>
          <w:numId w:val="37"/>
        </w:numPr>
        <w:jc w:val="both"/>
        <w:rPr>
          <w:lang w:val="en-US"/>
        </w:rPr>
      </w:pPr>
      <w:r w:rsidRPr="000253B8">
        <w:rPr>
          <w:lang w:val="en-US"/>
        </w:rPr>
        <w:t>The Directive applies to damage:</w:t>
      </w:r>
    </w:p>
    <w:p w:rsidR="000253B8" w:rsidRPr="000253B8" w:rsidRDefault="000253B8" w:rsidP="00411495">
      <w:pPr>
        <w:pStyle w:val="Prrafodelista"/>
        <w:numPr>
          <w:ilvl w:val="1"/>
          <w:numId w:val="37"/>
        </w:numPr>
        <w:jc w:val="both"/>
        <w:rPr>
          <w:lang w:val="en-US"/>
        </w:rPr>
      </w:pPr>
      <w:r w:rsidRPr="000253B8">
        <w:rPr>
          <w:lang w:val="en-US"/>
        </w:rPr>
        <w:t>caused by death or by personal injuries;</w:t>
      </w:r>
    </w:p>
    <w:p w:rsidR="000253B8" w:rsidRPr="000253B8" w:rsidRDefault="000253B8" w:rsidP="00411495">
      <w:pPr>
        <w:pStyle w:val="Prrafodelista"/>
        <w:numPr>
          <w:ilvl w:val="1"/>
          <w:numId w:val="37"/>
        </w:numPr>
        <w:jc w:val="both"/>
        <w:rPr>
          <w:lang w:val="en-US"/>
        </w:rPr>
      </w:pPr>
      <w:r w:rsidRPr="000253B8">
        <w:rPr>
          <w:lang w:val="en-US"/>
        </w:rPr>
        <w:t>caused to an item of property intended for private use or consumption.</w:t>
      </w:r>
    </w:p>
    <w:p w:rsidR="000253B8" w:rsidRPr="000253B8" w:rsidRDefault="000253B8" w:rsidP="00411495">
      <w:pPr>
        <w:pStyle w:val="Prrafodelista"/>
        <w:numPr>
          <w:ilvl w:val="0"/>
          <w:numId w:val="37"/>
        </w:numPr>
        <w:jc w:val="both"/>
        <w:rPr>
          <w:lang w:val="en-US"/>
        </w:rPr>
      </w:pPr>
      <w:r w:rsidRPr="000253B8">
        <w:rPr>
          <w:lang w:val="en-US"/>
        </w:rPr>
        <w:t>However, Member States may set a limit for the total liability of a producer in the case of death or personal injury caused by identical items with the same defect.</w:t>
      </w:r>
    </w:p>
    <w:p w:rsidR="000253B8" w:rsidRPr="000253B8" w:rsidRDefault="000253B8" w:rsidP="00411495">
      <w:pPr>
        <w:pStyle w:val="Prrafodelista"/>
        <w:numPr>
          <w:ilvl w:val="0"/>
          <w:numId w:val="37"/>
        </w:numPr>
        <w:jc w:val="both"/>
        <w:rPr>
          <w:lang w:val="en-US"/>
        </w:rPr>
      </w:pPr>
      <w:r w:rsidRPr="000253B8">
        <w:rPr>
          <w:lang w:val="en-US"/>
        </w:rPr>
        <w:t>In addition, the Directive does not apply to injury or damage arising from nuclear accidents covered by international conventions ratified by the Member States.</w:t>
      </w:r>
    </w:p>
    <w:p w:rsidR="000253B8" w:rsidRPr="000253B8" w:rsidRDefault="000253B8" w:rsidP="000253B8">
      <w:pPr>
        <w:jc w:val="both"/>
        <w:rPr>
          <w:lang w:val="en-US"/>
        </w:rPr>
      </w:pPr>
    </w:p>
    <w:p w:rsidR="000253B8" w:rsidRPr="000253B8" w:rsidRDefault="000253B8" w:rsidP="000253B8">
      <w:pPr>
        <w:jc w:val="both"/>
        <w:rPr>
          <w:lang w:val="en-US"/>
        </w:rPr>
      </w:pPr>
      <w:r>
        <w:rPr>
          <w:lang w:val="en-US"/>
        </w:rPr>
        <w:t xml:space="preserve">Expiration of liability </w:t>
      </w:r>
    </w:p>
    <w:p w:rsidR="000253B8" w:rsidRPr="000253B8" w:rsidRDefault="000253B8" w:rsidP="00411495">
      <w:pPr>
        <w:pStyle w:val="Prrafodelista"/>
        <w:numPr>
          <w:ilvl w:val="0"/>
          <w:numId w:val="36"/>
        </w:numPr>
        <w:jc w:val="both"/>
        <w:rPr>
          <w:lang w:val="en-US"/>
        </w:rPr>
      </w:pPr>
      <w:r w:rsidRPr="000253B8">
        <w:rPr>
          <w:lang w:val="en-US"/>
        </w:rPr>
        <w:t>The injured person has three years within which to seek compensation. This period starts from the date on which the injured person became aware of the damage, the defect and the identity of the producer.</w:t>
      </w:r>
    </w:p>
    <w:p w:rsidR="000253B8" w:rsidRPr="000253B8" w:rsidRDefault="000253B8" w:rsidP="00411495">
      <w:pPr>
        <w:pStyle w:val="Prrafodelista"/>
        <w:numPr>
          <w:ilvl w:val="0"/>
          <w:numId w:val="36"/>
        </w:numPr>
        <w:jc w:val="both"/>
        <w:rPr>
          <w:lang w:val="en-US"/>
        </w:rPr>
      </w:pPr>
      <w:r w:rsidRPr="000253B8">
        <w:rPr>
          <w:lang w:val="en-US"/>
        </w:rPr>
        <w:t>In addition, the producer is no longer liable ten years after the date the product was put into circulation.</w:t>
      </w:r>
    </w:p>
    <w:p w:rsidR="000253B8" w:rsidRPr="000253B8" w:rsidRDefault="000253B8" w:rsidP="00411495">
      <w:pPr>
        <w:pStyle w:val="Prrafodelista"/>
        <w:numPr>
          <w:ilvl w:val="0"/>
          <w:numId w:val="36"/>
        </w:numPr>
        <w:jc w:val="both"/>
        <w:rPr>
          <w:lang w:val="en-US"/>
        </w:rPr>
      </w:pPr>
      <w:r w:rsidRPr="000253B8">
        <w:rPr>
          <w:lang w:val="en-US"/>
        </w:rPr>
        <w:t>No contractual clause may allow the producer to limit his liability in relation to the injured person.</w:t>
      </w:r>
    </w:p>
    <w:p w:rsidR="000253B8" w:rsidRPr="000253B8" w:rsidRDefault="000253B8" w:rsidP="00411495">
      <w:pPr>
        <w:pStyle w:val="Prrafodelista"/>
        <w:numPr>
          <w:ilvl w:val="0"/>
          <w:numId w:val="36"/>
        </w:numPr>
        <w:jc w:val="both"/>
        <w:rPr>
          <w:lang w:val="en-US"/>
        </w:rPr>
      </w:pPr>
      <w:r w:rsidRPr="000253B8">
        <w:rPr>
          <w:lang w:val="en-US"/>
        </w:rPr>
        <w:t>National provisions governing civil liability still apply.</w:t>
      </w:r>
    </w:p>
    <w:p w:rsidR="000253B8" w:rsidRPr="000253B8" w:rsidRDefault="000253B8" w:rsidP="000253B8">
      <w:pPr>
        <w:jc w:val="both"/>
        <w:rPr>
          <w:lang w:val="en-US"/>
        </w:rPr>
      </w:pPr>
    </w:p>
    <w:p w:rsidR="000253B8" w:rsidRPr="000253B8" w:rsidRDefault="000253B8" w:rsidP="000253B8">
      <w:pPr>
        <w:jc w:val="both"/>
        <w:rPr>
          <w:lang w:val="en-US"/>
        </w:rPr>
      </w:pPr>
      <w:r w:rsidRPr="000253B8">
        <w:rPr>
          <w:lang w:val="en-US"/>
        </w:rPr>
        <w:lastRenderedPageBreak/>
        <w:t>Key terms</w:t>
      </w:r>
    </w:p>
    <w:p w:rsidR="000253B8" w:rsidRPr="000253B8" w:rsidRDefault="000253B8" w:rsidP="00411495">
      <w:pPr>
        <w:pStyle w:val="Prrafodelista"/>
        <w:numPr>
          <w:ilvl w:val="0"/>
          <w:numId w:val="35"/>
        </w:numPr>
        <w:jc w:val="both"/>
        <w:rPr>
          <w:lang w:val="en-US"/>
        </w:rPr>
      </w:pPr>
      <w:r w:rsidRPr="000253B8">
        <w:rPr>
          <w:lang w:val="en-US"/>
        </w:rPr>
        <w:t>Product: all movables, even though incorporated into another movable or into an immovable, including electricity, primary agricultural products (products of the soil, of stock-farming and of fisheries, excluding products which have undergone initial processing) and game.</w:t>
      </w:r>
    </w:p>
    <w:p w:rsidR="000253B8" w:rsidRPr="000253B8" w:rsidRDefault="000253B8" w:rsidP="000941D4">
      <w:pPr>
        <w:jc w:val="both"/>
        <w:rPr>
          <w:lang w:val="en-US"/>
        </w:rPr>
      </w:pPr>
    </w:p>
    <w:p w:rsidR="00EE7F74" w:rsidRPr="000253B8" w:rsidRDefault="00EE7F74">
      <w:pPr>
        <w:rPr>
          <w:lang w:val="en-US"/>
        </w:rPr>
      </w:pPr>
      <w:r w:rsidRPr="000253B8">
        <w:rPr>
          <w:lang w:val="en-US"/>
        </w:rPr>
        <w:br w:type="page"/>
      </w:r>
    </w:p>
    <w:p w:rsidR="00EE7F74" w:rsidRPr="00EE7F74" w:rsidRDefault="00EE7F74" w:rsidP="00EE7F74">
      <w:pPr>
        <w:pStyle w:val="Ttulo1"/>
        <w:tabs>
          <w:tab w:val="clear" w:pos="360"/>
          <w:tab w:val="num" w:pos="432"/>
        </w:tabs>
        <w:spacing w:after="360" w:line="240" w:lineRule="atLeast"/>
        <w:ind w:left="432" w:hanging="432"/>
        <w:jc w:val="both"/>
        <w:rPr>
          <w:lang w:val="en-US"/>
        </w:rPr>
      </w:pPr>
      <w:bookmarkStart w:id="52" w:name="_Toc404614872"/>
      <w:r w:rsidRPr="00EE7F74">
        <w:rPr>
          <w:lang w:val="en-US"/>
        </w:rPr>
        <w:lastRenderedPageBreak/>
        <w:t>NLF AND THE “BLUE GUIDE”</w:t>
      </w:r>
      <w:bookmarkEnd w:id="52"/>
    </w:p>
    <w:p w:rsidR="00EE7F74" w:rsidRPr="0094485C" w:rsidRDefault="00EE7F74" w:rsidP="00EE7F74">
      <w:pPr>
        <w:pStyle w:val="Ttulo2"/>
        <w:tabs>
          <w:tab w:val="clear" w:pos="0"/>
          <w:tab w:val="num" w:pos="851"/>
        </w:tabs>
        <w:ind w:left="851" w:hanging="851"/>
        <w:jc w:val="both"/>
        <w:rPr>
          <w:b w:val="0"/>
          <w:i w:val="0"/>
          <w:lang w:val="en-US"/>
        </w:rPr>
      </w:pPr>
      <w:bookmarkStart w:id="53" w:name="_Toc292702258"/>
      <w:bookmarkStart w:id="54" w:name="_Toc404614873"/>
      <w:r w:rsidRPr="0094485C">
        <w:rPr>
          <w:b w:val="0"/>
          <w:i w:val="0"/>
          <w:lang w:val="en-US"/>
        </w:rPr>
        <w:t>NLF - New Legislative Framework</w:t>
      </w:r>
      <w:bookmarkEnd w:id="53"/>
      <w:bookmarkEnd w:id="54"/>
    </w:p>
    <w:p w:rsidR="00EE7F74" w:rsidRDefault="00EE7F74" w:rsidP="00EE7F74">
      <w:pPr>
        <w:rPr>
          <w:rFonts w:cs="Arial"/>
          <w:lang w:val="es-ES"/>
        </w:rPr>
      </w:pPr>
      <w:r w:rsidRPr="00F84A2F">
        <w:rPr>
          <w:rFonts w:cs="Arial"/>
          <w:lang w:val="es-ES"/>
        </w:rPr>
        <w:t>Tiene por objeto eliminar los obstáculos a la libre circulación de productos y crear un marco jurídico Europeo eficiente y coherente con respecto a la comercialización de los productos, asegurando la seguridad de los ciudadanos y reduciendo el número de productos en el mercado que no satisfaga la legislación de la UE. Otro de los objetivos es mejorar la calidad del trabajo realizado por los organismos  que ensayan y certifican productos.</w:t>
      </w:r>
    </w:p>
    <w:p w:rsidR="00EE7F74" w:rsidRPr="007018B5" w:rsidRDefault="00EE7F74" w:rsidP="00EE7F74">
      <w:pPr>
        <w:rPr>
          <w:rFonts w:cs="Arial"/>
          <w:lang w:val="es-ES"/>
        </w:rPr>
      </w:pPr>
    </w:p>
    <w:p w:rsidR="00EE7F74" w:rsidRDefault="00EE7F74" w:rsidP="00EE7F74">
      <w:pPr>
        <w:rPr>
          <w:lang w:val="es-ES"/>
        </w:rPr>
      </w:pPr>
      <w:r>
        <w:rPr>
          <w:rFonts w:cs="Arial"/>
          <w:color w:val="333333"/>
          <w:lang w:val="es-ES"/>
        </w:rPr>
        <w:t xml:space="preserve">Se ha adoptado </w:t>
      </w:r>
      <w:r w:rsidRPr="00287C84">
        <w:rPr>
          <w:rFonts w:cs="Arial"/>
          <w:color w:val="333333"/>
          <w:lang w:val="es-ES"/>
        </w:rPr>
        <w:t xml:space="preserve">un "paquete de alineación", </w:t>
      </w:r>
      <w:r>
        <w:rPr>
          <w:rFonts w:cs="Arial"/>
          <w:color w:val="333333"/>
          <w:lang w:val="es-ES"/>
        </w:rPr>
        <w:t xml:space="preserve">para revisión de algunas directivas, </w:t>
      </w:r>
      <w:r w:rsidRPr="00287C84">
        <w:rPr>
          <w:rFonts w:cs="Arial"/>
          <w:color w:val="333333"/>
          <w:lang w:val="es-ES"/>
        </w:rPr>
        <w:t xml:space="preserve">que de otro modo no </w:t>
      </w:r>
      <w:r>
        <w:rPr>
          <w:rFonts w:cs="Arial"/>
          <w:color w:val="333333"/>
          <w:lang w:val="es-ES"/>
        </w:rPr>
        <w:t xml:space="preserve">serían </w:t>
      </w:r>
      <w:r w:rsidRPr="00287C84">
        <w:rPr>
          <w:rFonts w:cs="Arial"/>
          <w:color w:val="333333"/>
          <w:lang w:val="es-ES"/>
        </w:rPr>
        <w:t xml:space="preserve"> revisadas</w:t>
      </w:r>
      <w:r>
        <w:rPr>
          <w:rFonts w:cs="Arial"/>
          <w:color w:val="333333"/>
          <w:lang w:val="es-ES"/>
        </w:rPr>
        <w:t xml:space="preserve"> en un futuro próximo. </w:t>
      </w:r>
      <w:r>
        <w:rPr>
          <w:lang w:val="es-ES"/>
        </w:rPr>
        <w:t>Las directivas sujetas a revisión son las siguientes (</w:t>
      </w:r>
      <w:r w:rsidRPr="00701A43">
        <w:rPr>
          <w:color w:val="FF0000"/>
          <w:lang w:val="es-ES"/>
        </w:rPr>
        <w:t>resaltadas en rojo aquellas que pueden afectar al sector</w:t>
      </w:r>
      <w:r>
        <w:rPr>
          <w:lang w:val="es-ES"/>
        </w:rPr>
        <w:t>):</w:t>
      </w:r>
    </w:p>
    <w:p w:rsidR="00EE7F74" w:rsidRPr="00063006" w:rsidRDefault="00EE7F74" w:rsidP="00EE7F74">
      <w:pPr>
        <w:rPr>
          <w:lang w:val="es-ES"/>
        </w:rPr>
      </w:pPr>
    </w:p>
    <w:p w:rsidR="00EE7F74" w:rsidRPr="00230C41" w:rsidRDefault="00EE7F74" w:rsidP="00411495">
      <w:pPr>
        <w:pStyle w:val="Prrafodelista"/>
        <w:numPr>
          <w:ilvl w:val="0"/>
          <w:numId w:val="14"/>
        </w:numPr>
        <w:spacing w:after="200" w:line="276" w:lineRule="auto"/>
        <w:rPr>
          <w:color w:val="FF0000"/>
        </w:rPr>
      </w:pPr>
      <w:r w:rsidRPr="00230C41">
        <w:rPr>
          <w:color w:val="FF0000"/>
        </w:rPr>
        <w:t>LOW VOLTAGE DIRECTIVE: DIRECTIVE 2006/95/EEC</w:t>
      </w:r>
    </w:p>
    <w:p w:rsidR="00EE7F74" w:rsidRPr="00230C41" w:rsidRDefault="00EE7F74" w:rsidP="00411495">
      <w:pPr>
        <w:pStyle w:val="Prrafodelista"/>
        <w:numPr>
          <w:ilvl w:val="0"/>
          <w:numId w:val="14"/>
        </w:numPr>
        <w:spacing w:after="200" w:line="276" w:lineRule="auto"/>
        <w:rPr>
          <w:color w:val="FF0000"/>
        </w:rPr>
      </w:pPr>
      <w:r w:rsidRPr="00230C41">
        <w:rPr>
          <w:color w:val="FF0000"/>
        </w:rPr>
        <w:t>ELECTROMAGNETIC COMPATIBILITY DIRECTIVE: DIRECTIVE 2004/108/EC</w:t>
      </w:r>
    </w:p>
    <w:p w:rsidR="00EE7F74" w:rsidRPr="00230C41" w:rsidRDefault="00EE7F74" w:rsidP="00411495">
      <w:pPr>
        <w:pStyle w:val="Prrafodelista"/>
        <w:numPr>
          <w:ilvl w:val="0"/>
          <w:numId w:val="14"/>
        </w:numPr>
        <w:spacing w:after="200" w:line="276" w:lineRule="auto"/>
        <w:rPr>
          <w:color w:val="FF0000"/>
        </w:rPr>
      </w:pPr>
      <w:r w:rsidRPr="00230C41">
        <w:rPr>
          <w:color w:val="FF0000"/>
        </w:rPr>
        <w:t>ATEX DIRECTIVE: DIRECTIVE 94/9/EC</w:t>
      </w:r>
    </w:p>
    <w:p w:rsidR="00EE7F74" w:rsidRPr="009B2589" w:rsidRDefault="00EE7F74" w:rsidP="00411495">
      <w:pPr>
        <w:pStyle w:val="Prrafodelista"/>
        <w:numPr>
          <w:ilvl w:val="0"/>
          <w:numId w:val="14"/>
        </w:numPr>
        <w:spacing w:after="200" w:line="276" w:lineRule="auto"/>
      </w:pPr>
      <w:r w:rsidRPr="009B2589">
        <w:t>Lifts Directive: European Parliament and Council Directive 95/16/EC</w:t>
      </w:r>
    </w:p>
    <w:p w:rsidR="00EE7F74" w:rsidRPr="00230C41" w:rsidRDefault="00EE7F74" w:rsidP="00411495">
      <w:pPr>
        <w:pStyle w:val="Prrafodelista"/>
        <w:numPr>
          <w:ilvl w:val="0"/>
          <w:numId w:val="14"/>
        </w:numPr>
        <w:spacing w:after="200" w:line="276" w:lineRule="auto"/>
        <w:rPr>
          <w:color w:val="FF0000"/>
        </w:rPr>
      </w:pPr>
      <w:r w:rsidRPr="00230C41">
        <w:rPr>
          <w:color w:val="FF0000"/>
        </w:rPr>
        <w:t>SIMPLE PRESSURE VESSELS DIRECTIVE: COUNCIL DIRECTIVE 2009//105/EC</w:t>
      </w:r>
    </w:p>
    <w:p w:rsidR="00EE7F74" w:rsidRPr="009B2589" w:rsidRDefault="00EE7F74" w:rsidP="00411495">
      <w:pPr>
        <w:pStyle w:val="Prrafodelista"/>
        <w:numPr>
          <w:ilvl w:val="0"/>
          <w:numId w:val="14"/>
        </w:numPr>
        <w:spacing w:after="200" w:line="276" w:lineRule="auto"/>
      </w:pPr>
      <w:r w:rsidRPr="009B2589">
        <w:t>Measuring Instruments Directive: Directive 2004/22/EC</w:t>
      </w:r>
    </w:p>
    <w:p w:rsidR="00EE7F74" w:rsidRPr="009B2589" w:rsidRDefault="00EE7F74" w:rsidP="00411495">
      <w:pPr>
        <w:pStyle w:val="Prrafodelista"/>
        <w:numPr>
          <w:ilvl w:val="0"/>
          <w:numId w:val="14"/>
        </w:numPr>
        <w:spacing w:after="200" w:line="276" w:lineRule="auto"/>
      </w:pPr>
      <w:r w:rsidRPr="009B2589">
        <w:t>Non-automatic Weighing Instruments Directive: Council Directive 2009/23/EEC</w:t>
      </w:r>
    </w:p>
    <w:p w:rsidR="00EE7F74" w:rsidRPr="009B2589" w:rsidRDefault="00EE7F74" w:rsidP="00411495">
      <w:pPr>
        <w:pStyle w:val="Prrafodelista"/>
        <w:numPr>
          <w:ilvl w:val="0"/>
          <w:numId w:val="14"/>
        </w:numPr>
        <w:spacing w:after="200" w:line="276" w:lineRule="auto"/>
      </w:pPr>
      <w:r w:rsidRPr="009B2589">
        <w:t>Civil Explosives Directive: Council Directive 93/15/EEC</w:t>
      </w:r>
    </w:p>
    <w:p w:rsidR="00EE7F74" w:rsidRPr="009B2589" w:rsidRDefault="00EE7F74" w:rsidP="00411495">
      <w:pPr>
        <w:pStyle w:val="Prrafodelista"/>
        <w:numPr>
          <w:ilvl w:val="0"/>
          <w:numId w:val="14"/>
        </w:numPr>
        <w:spacing w:after="200" w:line="276" w:lineRule="auto"/>
      </w:pPr>
      <w:r w:rsidRPr="009B2589">
        <w:t>Pyrotechnic Articles Directive: Directive 2007/23/EC</w:t>
      </w:r>
    </w:p>
    <w:p w:rsidR="00EE7F74" w:rsidRDefault="00EE7F74" w:rsidP="00EE7F74">
      <w:pPr>
        <w:rPr>
          <w:rFonts w:cs="Arial"/>
          <w:color w:val="333333"/>
          <w:lang w:val="es-ES"/>
        </w:rPr>
      </w:pPr>
      <w:r w:rsidRPr="00287C84">
        <w:rPr>
          <w:rFonts w:cs="Arial"/>
          <w:color w:val="333333"/>
          <w:lang w:val="es-ES"/>
        </w:rPr>
        <w:t xml:space="preserve">El paquete de la alineación seguirá el procedimiento legislativo ante el </w:t>
      </w:r>
      <w:r>
        <w:rPr>
          <w:rFonts w:cs="Arial"/>
          <w:color w:val="333333"/>
          <w:lang w:val="es-ES"/>
        </w:rPr>
        <w:t>Consejo y el Parlamento Europeo.</w:t>
      </w:r>
    </w:p>
    <w:p w:rsidR="00EE7F74" w:rsidRPr="00CD7EB3" w:rsidRDefault="00EE7F74" w:rsidP="00EE7F74">
      <w:pPr>
        <w:rPr>
          <w:lang w:val="es-ES"/>
        </w:rPr>
      </w:pPr>
    </w:p>
    <w:p w:rsidR="00EE7F74" w:rsidRDefault="00EE7F74" w:rsidP="00EE7F74">
      <w:pPr>
        <w:pStyle w:val="Prrafodelista"/>
        <w:numPr>
          <w:ilvl w:val="0"/>
          <w:numId w:val="9"/>
        </w:numPr>
        <w:rPr>
          <w:lang w:val="es-ES"/>
        </w:rPr>
      </w:pPr>
      <w:r>
        <w:rPr>
          <w:lang w:val="es-ES"/>
        </w:rPr>
        <w:t xml:space="preserve">El nuevo “paquete” debería estar listo para finales de 2012, de forma que se adoptaría en primera lectura a principios de 2013, y </w:t>
      </w:r>
      <w:r w:rsidRPr="00C77749">
        <w:rPr>
          <w:color w:val="FF0000"/>
          <w:lang w:val="es-ES"/>
        </w:rPr>
        <w:t>las “nuevas” directivas entrarían en vigor para finales de 2014</w:t>
      </w:r>
      <w:r>
        <w:rPr>
          <w:lang w:val="es-ES"/>
        </w:rPr>
        <w:t xml:space="preserve"> (tras un periodo transitorio)</w:t>
      </w:r>
    </w:p>
    <w:p w:rsidR="00EE7F74" w:rsidRPr="00BD6025" w:rsidRDefault="00EE7F74" w:rsidP="00EE7F74">
      <w:pPr>
        <w:pStyle w:val="Prrafodelista"/>
        <w:numPr>
          <w:ilvl w:val="1"/>
          <w:numId w:val="9"/>
        </w:numPr>
        <w:rPr>
          <w:lang w:val="es-ES"/>
        </w:rPr>
      </w:pPr>
      <w:r>
        <w:rPr>
          <w:lang w:val="es-ES"/>
        </w:rPr>
        <w:t>El rapporteur ha publicado ya 9 “borradores”, y se espera en septiembre de 2012 que se produzca la votación en el Parlamento</w:t>
      </w:r>
    </w:p>
    <w:p w:rsidR="00EE7F74" w:rsidRPr="00CD7EB3" w:rsidRDefault="00EE7F74" w:rsidP="00EE7F74">
      <w:pPr>
        <w:pStyle w:val="Prrafodelista"/>
        <w:numPr>
          <w:ilvl w:val="1"/>
          <w:numId w:val="9"/>
        </w:numPr>
        <w:rPr>
          <w:lang w:val="es-ES"/>
        </w:rPr>
      </w:pPr>
      <w:r w:rsidRPr="00CD7EB3">
        <w:rPr>
          <w:lang w:val="es-ES"/>
        </w:rPr>
        <w:t xml:space="preserve">Por tanto, se espera </w:t>
      </w:r>
      <w:r>
        <w:rPr>
          <w:lang w:val="es-ES"/>
        </w:rPr>
        <w:t xml:space="preserve">que se apruebe en primera </w:t>
      </w:r>
      <w:r w:rsidRPr="00CD7EB3">
        <w:rPr>
          <w:lang w:val="es-ES"/>
        </w:rPr>
        <w:t>lectura</w:t>
      </w:r>
      <w:r>
        <w:rPr>
          <w:lang w:val="es-ES"/>
        </w:rPr>
        <w:t xml:space="preserve"> en invierno de 2012</w:t>
      </w:r>
      <w:r w:rsidRPr="00CD7EB3">
        <w:rPr>
          <w:lang w:val="es-ES"/>
        </w:rPr>
        <w:t>, en el parlamento (Internal market and consumer affairs committee) y consejo</w:t>
      </w:r>
    </w:p>
    <w:p w:rsidR="00EE7F74" w:rsidRPr="00BD6025" w:rsidRDefault="00EE7F74" w:rsidP="00EE7F74">
      <w:pPr>
        <w:pStyle w:val="Prrafodelista"/>
        <w:numPr>
          <w:ilvl w:val="1"/>
          <w:numId w:val="9"/>
        </w:numPr>
        <w:rPr>
          <w:lang w:val="es-ES"/>
        </w:rPr>
      </w:pPr>
      <w:r>
        <w:rPr>
          <w:lang w:val="es-ES"/>
        </w:rPr>
        <w:t>Las “nuevas” directivas entrarían en vigor para finales de 2014 (tras un periodo transitorio).</w:t>
      </w:r>
    </w:p>
    <w:p w:rsidR="00EE7F74" w:rsidRDefault="00EE7F74" w:rsidP="00EE7F74">
      <w:pPr>
        <w:pStyle w:val="Prrafodelista"/>
        <w:numPr>
          <w:ilvl w:val="0"/>
          <w:numId w:val="9"/>
        </w:numPr>
        <w:rPr>
          <w:lang w:val="es-ES"/>
        </w:rPr>
      </w:pPr>
      <w:r>
        <w:rPr>
          <w:lang w:val="es-ES"/>
        </w:rPr>
        <w:t>Los principales elementos legislativos son los siguientes:</w:t>
      </w:r>
    </w:p>
    <w:p w:rsidR="00EE7F74" w:rsidRPr="00831B14" w:rsidRDefault="00EE7F74" w:rsidP="00EE7F74">
      <w:pPr>
        <w:pStyle w:val="Prrafodelista"/>
        <w:numPr>
          <w:ilvl w:val="1"/>
          <w:numId w:val="9"/>
        </w:numPr>
        <w:rPr>
          <w:lang w:val="es-ES"/>
        </w:rPr>
      </w:pPr>
      <w:r w:rsidRPr="00831B14">
        <w:rPr>
          <w:lang w:val="es-ES"/>
        </w:rPr>
        <w:t xml:space="preserve">Reglamento 765/2008 del Parlamento Europeo y del Consejo, de 9 de julio de 2008, por los </w:t>
      </w:r>
      <w:r w:rsidRPr="00C77749">
        <w:rPr>
          <w:color w:val="FF0000"/>
          <w:lang w:val="es-ES"/>
        </w:rPr>
        <w:t>requisitos de acreditación y vigilancia del mercado</w:t>
      </w:r>
      <w:r w:rsidRPr="00831B14">
        <w:rPr>
          <w:lang w:val="es-ES"/>
        </w:rPr>
        <w:t xml:space="preserve"> relativos a la comercialización de los</w:t>
      </w:r>
      <w:r>
        <w:rPr>
          <w:lang w:val="es-ES"/>
        </w:rPr>
        <w:t xml:space="preserve"> productos</w:t>
      </w:r>
      <w:r w:rsidRPr="00831B14">
        <w:rPr>
          <w:lang w:val="es-ES"/>
        </w:rPr>
        <w:t>.(Marcado CE)</w:t>
      </w:r>
    </w:p>
    <w:p w:rsidR="00EE7F74" w:rsidRPr="00831B14" w:rsidRDefault="00EE7F74" w:rsidP="00EE7F74">
      <w:pPr>
        <w:pStyle w:val="Prrafodelista"/>
        <w:numPr>
          <w:ilvl w:val="1"/>
          <w:numId w:val="9"/>
        </w:numPr>
        <w:rPr>
          <w:lang w:val="es-ES"/>
        </w:rPr>
      </w:pPr>
      <w:r>
        <w:rPr>
          <w:lang w:val="es-ES"/>
        </w:rPr>
        <w:t xml:space="preserve">Decisión </w:t>
      </w:r>
      <w:r w:rsidRPr="00831B14">
        <w:rPr>
          <w:lang w:val="es-ES"/>
        </w:rPr>
        <w:t xml:space="preserve">768/2008/CE del Parlamento Europeo y del Consejo, de 9 de julio de 2008, sobre un </w:t>
      </w:r>
      <w:r w:rsidRPr="00C77749">
        <w:rPr>
          <w:color w:val="FF0000"/>
          <w:lang w:val="es-ES"/>
        </w:rPr>
        <w:t>marco común para la comercialización de los productos</w:t>
      </w:r>
    </w:p>
    <w:p w:rsidR="00EE7F74" w:rsidRDefault="00EE7F74" w:rsidP="00EE7F74">
      <w:pPr>
        <w:pStyle w:val="Prrafodelista"/>
        <w:numPr>
          <w:ilvl w:val="1"/>
          <w:numId w:val="9"/>
        </w:numPr>
        <w:rPr>
          <w:lang w:val="es-ES"/>
        </w:rPr>
      </w:pPr>
      <w:r w:rsidRPr="00831B14">
        <w:rPr>
          <w:lang w:val="es-ES"/>
        </w:rPr>
        <w:t xml:space="preserve">Reglamento 764/2008 del Parlamento Europeo y del Consejo, de 9 de julio de 2008, por los procedimientos relativos a la </w:t>
      </w:r>
      <w:r w:rsidRPr="00C77749">
        <w:rPr>
          <w:color w:val="FF0000"/>
          <w:lang w:val="es-ES"/>
        </w:rPr>
        <w:t>aplicación de determinadas normas técnicas nacionales a los productos comercializados legalmente en otro Estado miembro</w:t>
      </w:r>
    </w:p>
    <w:p w:rsidR="00EE7F74" w:rsidRPr="00AA0C8B" w:rsidRDefault="00EE7F74" w:rsidP="00EE7F74">
      <w:pPr>
        <w:pStyle w:val="Prrafodelista"/>
        <w:numPr>
          <w:ilvl w:val="0"/>
          <w:numId w:val="9"/>
        </w:numPr>
        <w:rPr>
          <w:color w:val="FF0000"/>
          <w:lang w:val="es-ES"/>
        </w:rPr>
      </w:pPr>
      <w:r w:rsidRPr="00AA0C8B">
        <w:rPr>
          <w:color w:val="FF0000"/>
          <w:lang w:val="es-ES"/>
        </w:rPr>
        <w:t>Estos reglamentos, tienen que ser incorporados en las Directivas existentes en su próxima revisión</w:t>
      </w:r>
    </w:p>
    <w:p w:rsidR="00EE7F74" w:rsidRDefault="00EE7F74" w:rsidP="00EE7F74">
      <w:pPr>
        <w:pStyle w:val="Prrafodelista"/>
        <w:numPr>
          <w:ilvl w:val="0"/>
          <w:numId w:val="9"/>
        </w:numPr>
        <w:rPr>
          <w:lang w:val="es-ES"/>
        </w:rPr>
      </w:pPr>
      <w:r w:rsidRPr="00BD6025">
        <w:rPr>
          <w:lang w:val="es-ES"/>
        </w:rPr>
        <w:t>La revision de la “blue guide”</w:t>
      </w:r>
      <w:r>
        <w:rPr>
          <w:lang w:val="es-ES"/>
        </w:rPr>
        <w:t xml:space="preserve"> se pospone sin fecha definida. Los puntos calientes serían los siguientes:</w:t>
      </w:r>
    </w:p>
    <w:p w:rsidR="00EE7F74" w:rsidRDefault="00EE7F74" w:rsidP="00EE7F74">
      <w:pPr>
        <w:pStyle w:val="Prrafodelista"/>
        <w:numPr>
          <w:ilvl w:val="1"/>
          <w:numId w:val="9"/>
        </w:numPr>
        <w:rPr>
          <w:lang w:val="es-ES"/>
        </w:rPr>
      </w:pPr>
      <w:r>
        <w:rPr>
          <w:lang w:val="es-ES"/>
        </w:rPr>
        <w:t>Obligations for economics operators</w:t>
      </w:r>
    </w:p>
    <w:p w:rsidR="00EE7F74" w:rsidRDefault="00EE7F74" w:rsidP="00EE7F74">
      <w:pPr>
        <w:pStyle w:val="Prrafodelista"/>
        <w:numPr>
          <w:ilvl w:val="1"/>
          <w:numId w:val="9"/>
        </w:numPr>
        <w:rPr>
          <w:lang w:val="es-ES"/>
        </w:rPr>
      </w:pPr>
      <w:r>
        <w:rPr>
          <w:lang w:val="es-ES"/>
        </w:rPr>
        <w:t>Accreditation</w:t>
      </w:r>
    </w:p>
    <w:p w:rsidR="00EE7F74" w:rsidRDefault="00EE7F74" w:rsidP="00EE7F74">
      <w:pPr>
        <w:pStyle w:val="Prrafodelista"/>
        <w:numPr>
          <w:ilvl w:val="1"/>
          <w:numId w:val="9"/>
        </w:numPr>
        <w:rPr>
          <w:lang w:val="es-ES"/>
        </w:rPr>
      </w:pPr>
      <w:r>
        <w:rPr>
          <w:lang w:val="es-ES"/>
        </w:rPr>
        <w:t>Conformity assessment</w:t>
      </w:r>
    </w:p>
    <w:p w:rsidR="00EE7F74" w:rsidRDefault="00EE7F74" w:rsidP="00EE7F74">
      <w:pPr>
        <w:pStyle w:val="Prrafodelista"/>
        <w:numPr>
          <w:ilvl w:val="1"/>
          <w:numId w:val="9"/>
        </w:numPr>
        <w:rPr>
          <w:lang w:val="es-ES"/>
        </w:rPr>
      </w:pPr>
      <w:r>
        <w:rPr>
          <w:lang w:val="es-ES"/>
        </w:rPr>
        <w:t>Market surveillance</w:t>
      </w:r>
    </w:p>
    <w:p w:rsidR="00EE7F74" w:rsidRDefault="00EE7F74" w:rsidP="00EE7F74">
      <w:pPr>
        <w:pStyle w:val="Prrafodelista"/>
        <w:numPr>
          <w:ilvl w:val="0"/>
          <w:numId w:val="9"/>
        </w:numPr>
        <w:rPr>
          <w:lang w:val="es-ES"/>
        </w:rPr>
      </w:pPr>
      <w:r>
        <w:rPr>
          <w:lang w:val="es-ES"/>
        </w:rPr>
        <w:t>Se está analizando la fusión de la “market surveillance” en un nuevo reglamento</w:t>
      </w:r>
    </w:p>
    <w:p w:rsidR="00EE7F74" w:rsidRDefault="00EE7F74" w:rsidP="00EE7F74">
      <w:pPr>
        <w:pStyle w:val="Prrafodelista"/>
        <w:numPr>
          <w:ilvl w:val="1"/>
          <w:numId w:val="9"/>
        </w:numPr>
        <w:rPr>
          <w:lang w:val="es-ES"/>
        </w:rPr>
      </w:pPr>
      <w:r>
        <w:rPr>
          <w:lang w:val="es-ES"/>
        </w:rPr>
        <w:t>En la actualidad está en el R 765 y en la directiva de “product safety”</w:t>
      </w:r>
    </w:p>
    <w:p w:rsidR="00EE7F74" w:rsidRDefault="00EE7F74" w:rsidP="00EE7F74">
      <w:pPr>
        <w:pStyle w:val="Prrafodelista"/>
        <w:numPr>
          <w:ilvl w:val="1"/>
          <w:numId w:val="9"/>
        </w:numPr>
        <w:rPr>
          <w:lang w:val="es-ES"/>
        </w:rPr>
      </w:pPr>
      <w:r>
        <w:rPr>
          <w:lang w:val="es-ES"/>
        </w:rPr>
        <w:t>De esta manera el R 765 se dejaría para:</w:t>
      </w:r>
    </w:p>
    <w:p w:rsidR="00EE7F74" w:rsidRDefault="00EE7F74" w:rsidP="00EE7F74">
      <w:pPr>
        <w:pStyle w:val="Prrafodelista"/>
        <w:numPr>
          <w:ilvl w:val="2"/>
          <w:numId w:val="9"/>
        </w:numPr>
        <w:rPr>
          <w:lang w:val="es-ES"/>
        </w:rPr>
      </w:pPr>
      <w:r>
        <w:rPr>
          <w:lang w:val="es-ES"/>
        </w:rPr>
        <w:lastRenderedPageBreak/>
        <w:t>CE marking</w:t>
      </w:r>
    </w:p>
    <w:p w:rsidR="00EE7F74" w:rsidRDefault="00EE7F74" w:rsidP="00EE7F74">
      <w:pPr>
        <w:pStyle w:val="Prrafodelista"/>
        <w:numPr>
          <w:ilvl w:val="2"/>
          <w:numId w:val="9"/>
        </w:numPr>
        <w:rPr>
          <w:lang w:val="es-ES"/>
        </w:rPr>
      </w:pPr>
      <w:r>
        <w:rPr>
          <w:lang w:val="es-ES"/>
        </w:rPr>
        <w:t>Accreditation</w:t>
      </w:r>
    </w:p>
    <w:p w:rsidR="00EE7F74" w:rsidRDefault="00EE7F74" w:rsidP="00EE7F74">
      <w:pPr>
        <w:jc w:val="both"/>
        <w:rPr>
          <w:lang w:val="es-ES" w:eastAsia="en-US"/>
        </w:rPr>
      </w:pPr>
    </w:p>
    <w:p w:rsidR="00EE7F74" w:rsidRPr="00AD5F29" w:rsidRDefault="00EE7F74" w:rsidP="00EE7F74">
      <w:pPr>
        <w:pStyle w:val="Ttulo3"/>
        <w:rPr>
          <w:lang w:val="es-ES"/>
        </w:rPr>
      </w:pPr>
      <w:r>
        <w:rPr>
          <w:lang w:val="es-ES"/>
        </w:rPr>
        <w:t>Novedades Noviembre’2014</w:t>
      </w:r>
    </w:p>
    <w:p w:rsidR="00EE7F74" w:rsidRDefault="00EE7F74" w:rsidP="00EE7F74">
      <w:pPr>
        <w:pStyle w:val="Prrafodelista"/>
        <w:numPr>
          <w:ilvl w:val="0"/>
          <w:numId w:val="3"/>
        </w:numPr>
        <w:jc w:val="both"/>
        <w:rPr>
          <w:lang w:val="es-ES"/>
        </w:rPr>
      </w:pPr>
      <w:r>
        <w:rPr>
          <w:lang w:val="es-ES"/>
        </w:rPr>
        <w:t>En marzo de 2014 se han publicado en el diario oficial las 8 directivas pendientes (entre las que se incluyen todas las que nos afectan: ATEX, LVD, SPVD, EMCD)</w:t>
      </w:r>
    </w:p>
    <w:p w:rsidR="00EE7F74" w:rsidRDefault="00EE7F74" w:rsidP="00EE7F74">
      <w:pPr>
        <w:pStyle w:val="Prrafodelista"/>
        <w:numPr>
          <w:ilvl w:val="0"/>
          <w:numId w:val="3"/>
        </w:numPr>
        <w:jc w:val="both"/>
        <w:rPr>
          <w:lang w:val="es-ES"/>
        </w:rPr>
      </w:pPr>
      <w:r>
        <w:rPr>
          <w:lang w:val="es-ES"/>
        </w:rPr>
        <w:t>Estas “nuevas” directivas entraron en vigor el 18 de abril con fecha tope de trasposición del 19 de abril de 2016, por lo que serán de aplicación a partir de esa fecha.</w:t>
      </w:r>
    </w:p>
    <w:p w:rsidR="00EE7F74" w:rsidRDefault="00EE7F74" w:rsidP="00EE7F74">
      <w:pPr>
        <w:pStyle w:val="Prrafodelista"/>
        <w:numPr>
          <w:ilvl w:val="0"/>
          <w:numId w:val="3"/>
        </w:numPr>
        <w:jc w:val="both"/>
        <w:rPr>
          <w:lang w:val="es-ES"/>
        </w:rPr>
      </w:pPr>
      <w:r>
        <w:rPr>
          <w:lang w:val="es-ES"/>
        </w:rPr>
        <w:t>La CE publicó la nueva edición de la famosa “blue guide”</w:t>
      </w:r>
    </w:p>
    <w:p w:rsidR="00EE7F74" w:rsidRDefault="00EE7F74" w:rsidP="001A396A">
      <w:pPr>
        <w:jc w:val="both"/>
        <w:rPr>
          <w:lang w:val="es-ES"/>
        </w:rPr>
      </w:pPr>
    </w:p>
    <w:p w:rsidR="00EE7F74" w:rsidRPr="0094485C" w:rsidRDefault="00EE7F74" w:rsidP="00EE7F74">
      <w:pPr>
        <w:pStyle w:val="Ttulo2"/>
        <w:tabs>
          <w:tab w:val="clear" w:pos="0"/>
          <w:tab w:val="num" w:pos="851"/>
        </w:tabs>
        <w:ind w:left="851" w:hanging="851"/>
        <w:jc w:val="both"/>
        <w:rPr>
          <w:b w:val="0"/>
          <w:i w:val="0"/>
          <w:lang w:val="en-US"/>
        </w:rPr>
      </w:pPr>
      <w:bookmarkStart w:id="55" w:name="_Toc404614874"/>
      <w:r>
        <w:rPr>
          <w:b w:val="0"/>
          <w:i w:val="0"/>
          <w:lang w:val="en-US"/>
        </w:rPr>
        <w:t>The “Blue Guide”</w:t>
      </w:r>
      <w:bookmarkEnd w:id="55"/>
    </w:p>
    <w:p w:rsidR="00CA7080" w:rsidRDefault="00CA7080" w:rsidP="001A396A">
      <w:pPr>
        <w:jc w:val="both"/>
        <w:rPr>
          <w:rFonts w:cs="Arial"/>
          <w:lang w:val="es-ES"/>
        </w:rPr>
      </w:pPr>
      <w:r>
        <w:rPr>
          <w:rFonts w:cs="Arial"/>
          <w:lang w:val="es-ES"/>
        </w:rPr>
        <w:t>Índice del documento:</w:t>
      </w:r>
    </w:p>
    <w:p w:rsidR="00EE7F74" w:rsidRPr="00CA7080" w:rsidRDefault="00CA7080" w:rsidP="00411495">
      <w:pPr>
        <w:pStyle w:val="Prrafodelista"/>
        <w:numPr>
          <w:ilvl w:val="0"/>
          <w:numId w:val="33"/>
        </w:numPr>
        <w:jc w:val="both"/>
        <w:rPr>
          <w:rFonts w:cs="Arial"/>
          <w:lang w:val="es-ES"/>
        </w:rPr>
      </w:pPr>
      <w:r w:rsidRPr="00CA7080">
        <w:rPr>
          <w:rFonts w:cs="Arial"/>
          <w:lang w:val="es-ES"/>
        </w:rPr>
        <w:t>Cap 1 – 9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2 – 9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3 – 8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 xml:space="preserve">Cap 4 </w:t>
      </w:r>
      <w:r w:rsidR="009B71AC">
        <w:rPr>
          <w:rFonts w:cs="Arial"/>
          <w:lang w:val="es-ES"/>
        </w:rPr>
        <w:t xml:space="preserve">- </w:t>
      </w:r>
      <w:r w:rsidRPr="00CA7080">
        <w:rPr>
          <w:rFonts w:cs="Arial"/>
          <w:lang w:val="es-ES"/>
        </w:rPr>
        <w:t>22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5 – 19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6 – 9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7 – 16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8 – 1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9 – 3 pag</w:t>
      </w:r>
    </w:p>
    <w:p w:rsidR="00CA7080" w:rsidRPr="00CA7080" w:rsidRDefault="00CA7080" w:rsidP="00411495">
      <w:pPr>
        <w:pStyle w:val="Prrafodelista"/>
        <w:numPr>
          <w:ilvl w:val="0"/>
          <w:numId w:val="33"/>
        </w:numPr>
        <w:jc w:val="both"/>
        <w:rPr>
          <w:rFonts w:cs="Arial"/>
          <w:lang w:val="es-ES"/>
        </w:rPr>
      </w:pPr>
      <w:r w:rsidRPr="00CA7080">
        <w:rPr>
          <w:rFonts w:cs="Arial"/>
          <w:lang w:val="es-ES"/>
        </w:rPr>
        <w:t>Cap 10 – 22</w:t>
      </w:r>
      <w:r w:rsidR="009B71AC">
        <w:rPr>
          <w:rFonts w:cs="Arial"/>
          <w:lang w:val="es-ES"/>
        </w:rPr>
        <w:t xml:space="preserve"> </w:t>
      </w:r>
      <w:r w:rsidRPr="00CA7080">
        <w:rPr>
          <w:rFonts w:cs="Arial"/>
          <w:lang w:val="es-ES"/>
        </w:rPr>
        <w:t>pag</w:t>
      </w:r>
    </w:p>
    <w:p w:rsidR="00CA7080" w:rsidRDefault="00CA7080" w:rsidP="001A396A">
      <w:pPr>
        <w:jc w:val="both"/>
        <w:rPr>
          <w:rFonts w:cs="Arial"/>
          <w:lang w:val="es-ES"/>
        </w:rPr>
      </w:pPr>
    </w:p>
    <w:p w:rsidR="00CA7080" w:rsidRDefault="00CA7080" w:rsidP="001A396A">
      <w:pPr>
        <w:jc w:val="both"/>
        <w:rPr>
          <w:rFonts w:cs="Arial"/>
          <w:lang w:val="es-ES"/>
        </w:rPr>
      </w:pPr>
      <w:r>
        <w:rPr>
          <w:rFonts w:cs="Arial"/>
          <w:lang w:val="es-ES"/>
        </w:rPr>
        <w:t>Agrupado en “paquetes” con un número “similar” de páginas:</w:t>
      </w:r>
    </w:p>
    <w:p w:rsidR="00CA7080" w:rsidRPr="00CA7080" w:rsidRDefault="00CA7080" w:rsidP="00411495">
      <w:pPr>
        <w:pStyle w:val="Prrafodelista"/>
        <w:numPr>
          <w:ilvl w:val="0"/>
          <w:numId w:val="34"/>
        </w:numPr>
        <w:jc w:val="both"/>
        <w:rPr>
          <w:rFonts w:cs="Arial"/>
          <w:lang w:val="es-ES"/>
        </w:rPr>
      </w:pPr>
      <w:r>
        <w:rPr>
          <w:rFonts w:cs="Arial"/>
          <w:lang w:val="es-ES"/>
        </w:rPr>
        <w:t>PAQUETE A: capítulos 1 y 2 (18 pag)</w:t>
      </w:r>
    </w:p>
    <w:p w:rsidR="00CA7080" w:rsidRPr="00CA7080" w:rsidRDefault="00CA7080" w:rsidP="00411495">
      <w:pPr>
        <w:pStyle w:val="Prrafodelista"/>
        <w:numPr>
          <w:ilvl w:val="0"/>
          <w:numId w:val="34"/>
        </w:numPr>
        <w:jc w:val="both"/>
        <w:rPr>
          <w:rFonts w:cs="Arial"/>
          <w:lang w:val="es-ES"/>
        </w:rPr>
      </w:pPr>
      <w:r>
        <w:rPr>
          <w:rFonts w:cs="Arial"/>
          <w:lang w:val="es-ES"/>
        </w:rPr>
        <w:t>PAQUETE B: capítulo 4 (22 pag)</w:t>
      </w:r>
    </w:p>
    <w:p w:rsidR="00CA7080" w:rsidRPr="00CA7080" w:rsidRDefault="00CA7080" w:rsidP="00411495">
      <w:pPr>
        <w:pStyle w:val="Prrafodelista"/>
        <w:numPr>
          <w:ilvl w:val="0"/>
          <w:numId w:val="34"/>
        </w:numPr>
        <w:jc w:val="both"/>
        <w:rPr>
          <w:rFonts w:cs="Arial"/>
          <w:lang w:val="es-ES"/>
        </w:rPr>
      </w:pPr>
      <w:r>
        <w:rPr>
          <w:rFonts w:cs="Arial"/>
          <w:lang w:val="es-ES"/>
        </w:rPr>
        <w:t>PAQUETE C: capítulo 5 (19 pag)</w:t>
      </w:r>
    </w:p>
    <w:p w:rsidR="00CA7080" w:rsidRPr="00CA7080" w:rsidRDefault="00CA7080" w:rsidP="00411495">
      <w:pPr>
        <w:pStyle w:val="Prrafodelista"/>
        <w:numPr>
          <w:ilvl w:val="0"/>
          <w:numId w:val="34"/>
        </w:numPr>
        <w:jc w:val="both"/>
        <w:rPr>
          <w:rFonts w:cs="Arial"/>
          <w:lang w:val="es-ES"/>
        </w:rPr>
      </w:pPr>
      <w:r>
        <w:rPr>
          <w:rFonts w:cs="Arial"/>
          <w:lang w:val="es-ES"/>
        </w:rPr>
        <w:t>PAQUETE D: capítulos 3 y 6 (17 pag)</w:t>
      </w:r>
    </w:p>
    <w:p w:rsidR="00CA7080" w:rsidRPr="00CA7080" w:rsidRDefault="00CA7080" w:rsidP="00411495">
      <w:pPr>
        <w:pStyle w:val="Prrafodelista"/>
        <w:numPr>
          <w:ilvl w:val="0"/>
          <w:numId w:val="34"/>
        </w:numPr>
        <w:jc w:val="both"/>
        <w:rPr>
          <w:rFonts w:cs="Arial"/>
          <w:lang w:val="es-ES"/>
        </w:rPr>
      </w:pPr>
      <w:r>
        <w:rPr>
          <w:rFonts w:cs="Arial"/>
          <w:lang w:val="es-ES"/>
        </w:rPr>
        <w:t>PAQUETE E: capítulo 7, 8 y 9 (20 pag)</w:t>
      </w:r>
    </w:p>
    <w:p w:rsidR="00CA7080" w:rsidRPr="00CA7080" w:rsidRDefault="00CA7080" w:rsidP="00411495">
      <w:pPr>
        <w:pStyle w:val="Prrafodelista"/>
        <w:numPr>
          <w:ilvl w:val="0"/>
          <w:numId w:val="34"/>
        </w:numPr>
        <w:jc w:val="both"/>
        <w:rPr>
          <w:rFonts w:cs="Arial"/>
          <w:lang w:val="es-ES"/>
        </w:rPr>
      </w:pPr>
      <w:r>
        <w:rPr>
          <w:rFonts w:cs="Arial"/>
          <w:lang w:val="es-ES"/>
        </w:rPr>
        <w:t>PAQUETE F: capítulo 10 (22 pag)</w:t>
      </w:r>
    </w:p>
    <w:p w:rsidR="00CA7080" w:rsidRDefault="00CA7080" w:rsidP="001A396A">
      <w:pPr>
        <w:jc w:val="both"/>
        <w:rPr>
          <w:rFonts w:cs="Arial"/>
          <w:lang w:val="es-ES"/>
        </w:rPr>
      </w:pPr>
    </w:p>
    <w:tbl>
      <w:tblPr>
        <w:tblStyle w:val="Tablaconcuadrcula"/>
        <w:tblW w:w="0" w:type="auto"/>
        <w:tblLook w:val="04A0" w:firstRow="1" w:lastRow="0" w:firstColumn="1" w:lastColumn="0" w:noHBand="0" w:noVBand="1"/>
      </w:tblPr>
      <w:tblGrid>
        <w:gridCol w:w="4361"/>
        <w:gridCol w:w="5418"/>
      </w:tblGrid>
      <w:tr w:rsidR="00CA7080" w:rsidTr="00CA7080">
        <w:tc>
          <w:tcPr>
            <w:tcW w:w="4361" w:type="dxa"/>
          </w:tcPr>
          <w:p w:rsidR="00CA7080" w:rsidRDefault="00CA7080" w:rsidP="00CA7080">
            <w:pPr>
              <w:jc w:val="center"/>
              <w:rPr>
                <w:lang w:val="es-ES"/>
              </w:rPr>
            </w:pPr>
          </w:p>
        </w:tc>
        <w:tc>
          <w:tcPr>
            <w:tcW w:w="5418" w:type="dxa"/>
          </w:tcPr>
          <w:p w:rsidR="00CA7080" w:rsidRDefault="00CA7080" w:rsidP="000257D5">
            <w:pPr>
              <w:jc w:val="center"/>
              <w:rPr>
                <w:lang w:val="es-ES"/>
              </w:rPr>
            </w:pPr>
            <w:r>
              <w:rPr>
                <w:lang w:val="es-ES"/>
              </w:rPr>
              <w:t>PAQUETES A REVISAR</w:t>
            </w:r>
          </w:p>
        </w:tc>
      </w:tr>
      <w:tr w:rsidR="00CA7080" w:rsidTr="00CA7080">
        <w:tc>
          <w:tcPr>
            <w:tcW w:w="4361" w:type="dxa"/>
          </w:tcPr>
          <w:p w:rsidR="00CA7080" w:rsidRDefault="00CA7080" w:rsidP="001A396A">
            <w:pPr>
              <w:jc w:val="both"/>
              <w:rPr>
                <w:lang w:val="es-ES"/>
              </w:rPr>
            </w:pPr>
            <w:r>
              <w:rPr>
                <w:lang w:val="es-ES"/>
              </w:rPr>
              <w:t>ANA MARIBLANCA</w:t>
            </w:r>
            <w:r w:rsidR="000257D5">
              <w:rPr>
                <w:lang w:val="es-ES"/>
              </w:rPr>
              <w:t xml:space="preserve"> / MAR DUQUE</w:t>
            </w:r>
          </w:p>
        </w:tc>
        <w:tc>
          <w:tcPr>
            <w:tcW w:w="5418" w:type="dxa"/>
          </w:tcPr>
          <w:p w:rsidR="00CA7080" w:rsidRDefault="000257D5" w:rsidP="000257D5">
            <w:pPr>
              <w:jc w:val="center"/>
              <w:rPr>
                <w:lang w:val="es-ES"/>
              </w:rPr>
            </w:pPr>
            <w:r>
              <w:rPr>
                <w:lang w:val="es-ES"/>
              </w:rPr>
              <w:t>A</w:t>
            </w:r>
          </w:p>
        </w:tc>
      </w:tr>
      <w:tr w:rsidR="00CA7080" w:rsidTr="00CA7080">
        <w:tc>
          <w:tcPr>
            <w:tcW w:w="4361" w:type="dxa"/>
          </w:tcPr>
          <w:p w:rsidR="00CA7080" w:rsidRDefault="00CA7080" w:rsidP="001A396A">
            <w:pPr>
              <w:jc w:val="both"/>
              <w:rPr>
                <w:lang w:val="es-ES"/>
              </w:rPr>
            </w:pPr>
            <w:r>
              <w:rPr>
                <w:lang w:val="es-ES"/>
              </w:rPr>
              <w:t>LUIS MARI SAINZ PEREDA</w:t>
            </w:r>
          </w:p>
        </w:tc>
        <w:tc>
          <w:tcPr>
            <w:tcW w:w="5418" w:type="dxa"/>
          </w:tcPr>
          <w:p w:rsidR="00CA7080" w:rsidRDefault="000257D5" w:rsidP="000257D5">
            <w:pPr>
              <w:jc w:val="center"/>
              <w:rPr>
                <w:lang w:val="es-ES"/>
              </w:rPr>
            </w:pPr>
            <w:r>
              <w:rPr>
                <w:lang w:val="es-ES"/>
              </w:rPr>
              <w:t>B</w:t>
            </w:r>
          </w:p>
        </w:tc>
      </w:tr>
      <w:tr w:rsidR="00CA7080" w:rsidTr="00CA7080">
        <w:tc>
          <w:tcPr>
            <w:tcW w:w="4361" w:type="dxa"/>
          </w:tcPr>
          <w:p w:rsidR="00CA7080" w:rsidRDefault="000257D5" w:rsidP="001A396A">
            <w:pPr>
              <w:jc w:val="both"/>
              <w:rPr>
                <w:lang w:val="es-ES"/>
              </w:rPr>
            </w:pPr>
            <w:r>
              <w:rPr>
                <w:lang w:val="es-ES"/>
              </w:rPr>
              <w:t>ENRIQUE BARRIO</w:t>
            </w:r>
          </w:p>
        </w:tc>
        <w:tc>
          <w:tcPr>
            <w:tcW w:w="5418" w:type="dxa"/>
          </w:tcPr>
          <w:p w:rsidR="00CA7080" w:rsidRDefault="000257D5" w:rsidP="000257D5">
            <w:pPr>
              <w:jc w:val="center"/>
              <w:rPr>
                <w:lang w:val="es-ES"/>
              </w:rPr>
            </w:pPr>
            <w:r>
              <w:rPr>
                <w:lang w:val="es-ES"/>
              </w:rPr>
              <w:t>C</w:t>
            </w:r>
          </w:p>
        </w:tc>
      </w:tr>
      <w:tr w:rsidR="00CA7080" w:rsidTr="00CA7080">
        <w:tc>
          <w:tcPr>
            <w:tcW w:w="4361" w:type="dxa"/>
          </w:tcPr>
          <w:p w:rsidR="00CA7080" w:rsidRDefault="00CA7080" w:rsidP="001A396A">
            <w:pPr>
              <w:jc w:val="both"/>
              <w:rPr>
                <w:lang w:val="es-ES"/>
              </w:rPr>
            </w:pPr>
            <w:r>
              <w:rPr>
                <w:lang w:val="es-ES"/>
              </w:rPr>
              <w:t>MIKEL ZALDUNBIDE</w:t>
            </w:r>
          </w:p>
        </w:tc>
        <w:tc>
          <w:tcPr>
            <w:tcW w:w="5418" w:type="dxa"/>
          </w:tcPr>
          <w:p w:rsidR="00CA7080" w:rsidRDefault="000257D5" w:rsidP="000257D5">
            <w:pPr>
              <w:jc w:val="center"/>
              <w:rPr>
                <w:lang w:val="es-ES"/>
              </w:rPr>
            </w:pPr>
            <w:r>
              <w:rPr>
                <w:lang w:val="es-ES"/>
              </w:rPr>
              <w:t>D</w:t>
            </w:r>
          </w:p>
        </w:tc>
      </w:tr>
      <w:tr w:rsidR="00CA7080" w:rsidTr="00CA7080">
        <w:tc>
          <w:tcPr>
            <w:tcW w:w="4361" w:type="dxa"/>
          </w:tcPr>
          <w:p w:rsidR="00CA7080" w:rsidRDefault="00CA7080" w:rsidP="001A396A">
            <w:pPr>
              <w:jc w:val="both"/>
              <w:rPr>
                <w:lang w:val="es-ES"/>
              </w:rPr>
            </w:pPr>
            <w:r>
              <w:rPr>
                <w:lang w:val="es-ES"/>
              </w:rPr>
              <w:t>PEDRO MARTÍNEZ</w:t>
            </w:r>
          </w:p>
        </w:tc>
        <w:tc>
          <w:tcPr>
            <w:tcW w:w="5418" w:type="dxa"/>
          </w:tcPr>
          <w:p w:rsidR="00CA7080" w:rsidRDefault="000257D5" w:rsidP="000257D5">
            <w:pPr>
              <w:jc w:val="center"/>
              <w:rPr>
                <w:lang w:val="es-ES"/>
              </w:rPr>
            </w:pPr>
            <w:r>
              <w:rPr>
                <w:lang w:val="es-ES"/>
              </w:rPr>
              <w:t>E</w:t>
            </w:r>
          </w:p>
        </w:tc>
      </w:tr>
      <w:tr w:rsidR="00CA7080" w:rsidTr="00CA7080">
        <w:tc>
          <w:tcPr>
            <w:tcW w:w="4361" w:type="dxa"/>
          </w:tcPr>
          <w:p w:rsidR="00CA7080" w:rsidRDefault="00CA7080" w:rsidP="001A396A">
            <w:pPr>
              <w:jc w:val="both"/>
              <w:rPr>
                <w:lang w:val="es-ES"/>
              </w:rPr>
            </w:pPr>
            <w:r>
              <w:rPr>
                <w:lang w:val="es-ES"/>
              </w:rPr>
              <w:lastRenderedPageBreak/>
              <w:t>RAFAEL MUÑOZ</w:t>
            </w:r>
          </w:p>
        </w:tc>
        <w:tc>
          <w:tcPr>
            <w:tcW w:w="5418" w:type="dxa"/>
          </w:tcPr>
          <w:p w:rsidR="00CA7080" w:rsidRDefault="000257D5" w:rsidP="000257D5">
            <w:pPr>
              <w:jc w:val="center"/>
              <w:rPr>
                <w:lang w:val="es-ES"/>
              </w:rPr>
            </w:pPr>
            <w:r>
              <w:rPr>
                <w:lang w:val="es-ES"/>
              </w:rPr>
              <w:t>F</w:t>
            </w:r>
          </w:p>
        </w:tc>
      </w:tr>
    </w:tbl>
    <w:p w:rsidR="00CA7080" w:rsidRPr="001A396A" w:rsidRDefault="00CA7080" w:rsidP="001A396A">
      <w:pPr>
        <w:jc w:val="both"/>
        <w:rPr>
          <w:lang w:val="es-ES"/>
        </w:rPr>
      </w:pPr>
    </w:p>
    <w:p w:rsidR="00964588" w:rsidRPr="00EE7F74" w:rsidRDefault="00964588">
      <w:pPr>
        <w:rPr>
          <w:rFonts w:cs="Arial"/>
          <w:lang w:val="es-ES"/>
        </w:rPr>
      </w:pPr>
      <w:r w:rsidRPr="00EE7F74">
        <w:rPr>
          <w:rFonts w:cs="Arial"/>
          <w:lang w:val="es-ES"/>
        </w:rPr>
        <w:br w:type="page"/>
      </w:r>
    </w:p>
    <w:p w:rsidR="00784F74" w:rsidRPr="00D465DB" w:rsidRDefault="00BC5B35" w:rsidP="00D465DB">
      <w:pPr>
        <w:pStyle w:val="Ttulo1"/>
        <w:tabs>
          <w:tab w:val="clear" w:pos="360"/>
          <w:tab w:val="num" w:pos="432"/>
        </w:tabs>
        <w:spacing w:after="360" w:line="240" w:lineRule="atLeast"/>
        <w:ind w:left="432" w:hanging="432"/>
        <w:jc w:val="both"/>
        <w:rPr>
          <w:lang w:val="es-ES"/>
        </w:rPr>
      </w:pPr>
      <w:bookmarkStart w:id="56" w:name="_Toc404614875"/>
      <w:r w:rsidRPr="00D465DB">
        <w:rPr>
          <w:lang w:val="es-ES"/>
        </w:rPr>
        <w:lastRenderedPageBreak/>
        <w:t>OTRAS DIRECTIVAS DE INTERÉS (PENDIENTES DE ANÁLISIS)</w:t>
      </w:r>
      <w:bookmarkEnd w:id="56"/>
    </w:p>
    <w:p w:rsidR="00F43016" w:rsidRPr="0056590F" w:rsidRDefault="00F43016" w:rsidP="000B5E0E">
      <w:pPr>
        <w:pStyle w:val="Ttulo2"/>
        <w:tabs>
          <w:tab w:val="clear" w:pos="0"/>
          <w:tab w:val="num" w:pos="851"/>
        </w:tabs>
        <w:ind w:left="851" w:hanging="851"/>
        <w:jc w:val="both"/>
        <w:rPr>
          <w:b w:val="0"/>
          <w:i w:val="0"/>
          <w:lang w:val="en-US"/>
        </w:rPr>
      </w:pPr>
      <w:bookmarkStart w:id="57" w:name="_Toc404614876"/>
      <w:r w:rsidRPr="0056590F">
        <w:rPr>
          <w:b w:val="0"/>
          <w:i w:val="0"/>
          <w:lang w:val="en-US"/>
        </w:rPr>
        <w:t>Eco-label award scheme regulation</w:t>
      </w:r>
      <w:bookmarkEnd w:id="57"/>
    </w:p>
    <w:p w:rsidR="00F43016" w:rsidRPr="005660F6" w:rsidRDefault="00F43016" w:rsidP="000B5E0E">
      <w:pPr>
        <w:pStyle w:val="Ttulo2"/>
        <w:tabs>
          <w:tab w:val="clear" w:pos="0"/>
          <w:tab w:val="num" w:pos="851"/>
        </w:tabs>
        <w:ind w:left="851" w:hanging="851"/>
        <w:jc w:val="both"/>
        <w:rPr>
          <w:b w:val="0"/>
          <w:i w:val="0"/>
          <w:lang w:val="en-US"/>
        </w:rPr>
      </w:pPr>
      <w:bookmarkStart w:id="58" w:name="_Toc404614877"/>
      <w:r w:rsidRPr="005660F6">
        <w:rPr>
          <w:b w:val="0"/>
          <w:i w:val="0"/>
          <w:lang w:val="en-US"/>
        </w:rPr>
        <w:t>Eco-management and audit scheme regulation</w:t>
      </w:r>
      <w:bookmarkEnd w:id="58"/>
    </w:p>
    <w:p w:rsidR="00F43016" w:rsidRPr="000B5E0E" w:rsidRDefault="00F43016" w:rsidP="000B5E0E">
      <w:pPr>
        <w:pStyle w:val="Ttulo2"/>
        <w:tabs>
          <w:tab w:val="clear" w:pos="0"/>
          <w:tab w:val="num" w:pos="851"/>
        </w:tabs>
        <w:ind w:left="851" w:hanging="851"/>
        <w:jc w:val="both"/>
        <w:rPr>
          <w:b w:val="0"/>
          <w:i w:val="0"/>
          <w:lang w:val="es-ES"/>
        </w:rPr>
      </w:pPr>
      <w:bookmarkStart w:id="59" w:name="_Toc404614878"/>
      <w:r w:rsidRPr="000B5E0E">
        <w:rPr>
          <w:b w:val="0"/>
          <w:i w:val="0"/>
          <w:lang w:val="es-ES"/>
        </w:rPr>
        <w:t>Emission Trading Scheme</w:t>
      </w:r>
      <w:bookmarkEnd w:id="59"/>
    </w:p>
    <w:p w:rsidR="00F43016" w:rsidRPr="00126270" w:rsidRDefault="00F43016" w:rsidP="000B5E0E">
      <w:pPr>
        <w:pStyle w:val="Ttulo2"/>
        <w:tabs>
          <w:tab w:val="clear" w:pos="0"/>
          <w:tab w:val="num" w:pos="851"/>
        </w:tabs>
        <w:ind w:left="851" w:hanging="851"/>
        <w:jc w:val="both"/>
        <w:rPr>
          <w:b w:val="0"/>
          <w:i w:val="0"/>
          <w:lang w:val="en-US"/>
        </w:rPr>
      </w:pPr>
      <w:bookmarkStart w:id="60" w:name="_Toc404614879"/>
      <w:r w:rsidRPr="00126270">
        <w:rPr>
          <w:b w:val="0"/>
          <w:i w:val="0"/>
          <w:lang w:val="en-US"/>
        </w:rPr>
        <w:t>Exposure to artificial optical radiation</w:t>
      </w:r>
      <w:bookmarkEnd w:id="60"/>
    </w:p>
    <w:p w:rsidR="00F43016" w:rsidRPr="000B5E0E" w:rsidRDefault="00F43016" w:rsidP="000B5E0E">
      <w:pPr>
        <w:pStyle w:val="Ttulo2"/>
        <w:tabs>
          <w:tab w:val="clear" w:pos="0"/>
          <w:tab w:val="num" w:pos="851"/>
        </w:tabs>
        <w:ind w:left="851" w:hanging="851"/>
        <w:jc w:val="both"/>
        <w:rPr>
          <w:b w:val="0"/>
          <w:i w:val="0"/>
          <w:lang w:val="es-ES"/>
        </w:rPr>
      </w:pPr>
      <w:bookmarkStart w:id="61" w:name="_Toc404614880"/>
      <w:r w:rsidRPr="000B5E0E">
        <w:rPr>
          <w:b w:val="0"/>
          <w:i w:val="0"/>
          <w:lang w:val="es-ES"/>
        </w:rPr>
        <w:t>Gas Appliances Directive</w:t>
      </w:r>
      <w:bookmarkEnd w:id="61"/>
    </w:p>
    <w:p w:rsidR="00F43016" w:rsidRPr="005660F6" w:rsidRDefault="00F43016" w:rsidP="000B5E0E">
      <w:pPr>
        <w:pStyle w:val="Ttulo2"/>
        <w:tabs>
          <w:tab w:val="clear" w:pos="0"/>
          <w:tab w:val="num" w:pos="851"/>
        </w:tabs>
        <w:ind w:left="851" w:hanging="851"/>
        <w:jc w:val="both"/>
        <w:rPr>
          <w:b w:val="0"/>
          <w:i w:val="0"/>
          <w:lang w:val="en-US"/>
        </w:rPr>
      </w:pPr>
      <w:bookmarkStart w:id="62" w:name="_Toc404614881"/>
      <w:r w:rsidRPr="005660F6">
        <w:rPr>
          <w:b w:val="0"/>
          <w:i w:val="0"/>
          <w:lang w:val="en-US"/>
        </w:rPr>
        <w:t>Promotion of the use of energy from renewable sources</w:t>
      </w:r>
      <w:bookmarkEnd w:id="62"/>
    </w:p>
    <w:p w:rsidR="000B5E0E" w:rsidRPr="00AC1ECC" w:rsidRDefault="00AC1ECC" w:rsidP="00AC1ECC">
      <w:pPr>
        <w:pStyle w:val="Ttulo2"/>
        <w:tabs>
          <w:tab w:val="clear" w:pos="0"/>
          <w:tab w:val="num" w:pos="851"/>
        </w:tabs>
        <w:ind w:left="851" w:hanging="851"/>
        <w:jc w:val="both"/>
        <w:rPr>
          <w:b w:val="0"/>
          <w:i w:val="0"/>
          <w:lang w:val="es-ES"/>
        </w:rPr>
      </w:pPr>
      <w:bookmarkStart w:id="63" w:name="_Toc404614882"/>
      <w:r w:rsidRPr="00AC1ECC">
        <w:rPr>
          <w:b w:val="0"/>
          <w:i w:val="0"/>
          <w:lang w:val="es-ES"/>
        </w:rPr>
        <w:t>Energy Roadmap 2050</w:t>
      </w:r>
      <w:bookmarkEnd w:id="63"/>
    </w:p>
    <w:p w:rsidR="00402828" w:rsidRDefault="00402828">
      <w:pPr>
        <w:rPr>
          <w:lang w:val="en-US"/>
        </w:rPr>
      </w:pPr>
    </w:p>
    <w:p w:rsidR="00402828" w:rsidRDefault="00402828">
      <w:pPr>
        <w:rPr>
          <w:lang w:val="en-US"/>
        </w:rPr>
        <w:sectPr w:rsidR="00402828" w:rsidSect="00891E4F">
          <w:footerReference w:type="default" r:id="rId33"/>
          <w:pgSz w:w="11907" w:h="16840" w:code="9"/>
          <w:pgMar w:top="1134" w:right="1134" w:bottom="1134" w:left="1134" w:header="567" w:footer="567" w:gutter="0"/>
          <w:pgNumType w:start="1"/>
          <w:cols w:space="720"/>
          <w:docGrid w:linePitch="360"/>
        </w:sectPr>
      </w:pPr>
    </w:p>
    <w:p w:rsidR="00D1096B" w:rsidRDefault="00AE3C67" w:rsidP="00D465DB">
      <w:pPr>
        <w:pStyle w:val="Ttulo1"/>
        <w:tabs>
          <w:tab w:val="clear" w:pos="360"/>
          <w:tab w:val="num" w:pos="432"/>
        </w:tabs>
        <w:spacing w:after="360" w:line="240" w:lineRule="atLeast"/>
        <w:ind w:left="432" w:hanging="432"/>
        <w:jc w:val="both"/>
        <w:rPr>
          <w:lang w:val="es-ES"/>
        </w:rPr>
      </w:pPr>
      <w:bookmarkStart w:id="64" w:name="_Toc404614883"/>
      <w:r w:rsidRPr="00D465DB">
        <w:rPr>
          <w:lang w:val="es-ES"/>
        </w:rPr>
        <w:lastRenderedPageBreak/>
        <w:t>Lista completa de directivas analizadas por el grupo de trabajo</w:t>
      </w:r>
      <w:bookmarkEnd w:id="64"/>
      <w:r w:rsidR="000257D5" w:rsidRPr="000257D5">
        <w:rPr>
          <w:color w:val="FF0000"/>
          <w:lang w:val="es-ES"/>
        </w:rPr>
        <w:t xml:space="preserve"> (PROVISIONAL)</w:t>
      </w: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709"/>
        <w:gridCol w:w="4819"/>
        <w:gridCol w:w="1560"/>
        <w:gridCol w:w="1275"/>
        <w:gridCol w:w="1701"/>
        <w:gridCol w:w="1276"/>
        <w:gridCol w:w="992"/>
        <w:gridCol w:w="993"/>
      </w:tblGrid>
      <w:tr w:rsidR="00A53F86" w:rsidRPr="00AC7BF3" w:rsidTr="00A53F86">
        <w:trPr>
          <w:trHeight w:val="20"/>
          <w:tblHeader/>
        </w:trPr>
        <w:tc>
          <w:tcPr>
            <w:tcW w:w="1291" w:type="dxa"/>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hideMark/>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ESTADO</w:t>
            </w:r>
          </w:p>
        </w:tc>
        <w:tc>
          <w:tcPr>
            <w:tcW w:w="709"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hideMark/>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SIGLAS</w:t>
            </w:r>
          </w:p>
        </w:tc>
        <w:tc>
          <w:tcPr>
            <w:tcW w:w="4819"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hideMark/>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NOMBRE</w:t>
            </w:r>
          </w:p>
        </w:tc>
        <w:tc>
          <w:tcPr>
            <w:tcW w:w="156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hideMark/>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REFERENCIA</w:t>
            </w:r>
          </w:p>
        </w:tc>
        <w:tc>
          <w:tcPr>
            <w:tcW w:w="1275"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ENTRADA EN VIGO</w:t>
            </w:r>
            <w:r w:rsidR="008C24EC">
              <w:rPr>
                <w:rFonts w:asciiTheme="minorHAnsi" w:hAnsiTheme="minorHAnsi" w:cs="Arial"/>
                <w:b/>
                <w:color w:val="FFFFFF" w:themeColor="background1"/>
                <w:lang w:val="es-ES"/>
              </w:rPr>
              <w:t>R</w:t>
            </w:r>
          </w:p>
        </w:tc>
        <w:tc>
          <w:tcPr>
            <w:tcW w:w="1701"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vAlign w:val="center"/>
          </w:tcPr>
          <w:p w:rsidR="00A53F86" w:rsidRPr="00AC7BF3" w:rsidRDefault="00A53F86" w:rsidP="00A53F86">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FECHA DE TRANSPOSICIÓN</w:t>
            </w:r>
          </w:p>
        </w:tc>
        <w:tc>
          <w:tcPr>
            <w:tcW w:w="1276"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43634" w:themeFill="accent2" w:themeFillShade="BF"/>
          </w:tcPr>
          <w:p w:rsidR="00A53F86"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TRANSPOSICIÓN EN ESPAÑA</w:t>
            </w:r>
          </w:p>
        </w:tc>
        <w:tc>
          <w:tcPr>
            <w:tcW w:w="992" w:type="dxa"/>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943634" w:themeFill="accent2" w:themeFillShade="BF"/>
            <w:vAlign w:val="center"/>
          </w:tcPr>
          <w:p w:rsidR="00A53F86" w:rsidRPr="00AC7BF3" w:rsidRDefault="00A53F86" w:rsidP="005311FC">
            <w:pPr>
              <w:jc w:val="center"/>
              <w:rPr>
                <w:rFonts w:asciiTheme="minorHAnsi" w:hAnsiTheme="minorHAnsi" w:cs="Arial"/>
                <w:b/>
                <w:color w:val="FFFFFF" w:themeColor="background1"/>
                <w:lang w:val="es-ES"/>
              </w:rPr>
            </w:pPr>
            <w:r>
              <w:rPr>
                <w:rFonts w:asciiTheme="minorHAnsi" w:hAnsiTheme="minorHAnsi" w:cs="Arial"/>
                <w:b/>
                <w:color w:val="FFFFFF" w:themeColor="background1"/>
                <w:lang w:val="es-ES"/>
              </w:rPr>
              <w:t>IMPORTANCIA</w:t>
            </w:r>
          </w:p>
        </w:tc>
        <w:tc>
          <w:tcPr>
            <w:tcW w:w="993" w:type="dxa"/>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943634" w:themeFill="accent2" w:themeFillShade="BF"/>
            <w:vAlign w:val="center"/>
          </w:tcPr>
          <w:p w:rsidR="00A53F86" w:rsidRPr="00AC7BF3" w:rsidRDefault="00A53F86" w:rsidP="00A53F86">
            <w:pPr>
              <w:jc w:val="center"/>
              <w:rPr>
                <w:rFonts w:asciiTheme="minorHAnsi" w:hAnsiTheme="minorHAnsi" w:cs="Arial"/>
                <w:b/>
                <w:color w:val="FFFFFF" w:themeColor="background1"/>
                <w:lang w:val="es-ES"/>
              </w:rPr>
            </w:pPr>
            <w:r w:rsidRPr="00AC7BF3">
              <w:rPr>
                <w:rFonts w:asciiTheme="minorHAnsi" w:hAnsiTheme="minorHAnsi" w:cs="Arial"/>
                <w:b/>
                <w:color w:val="FFFFFF" w:themeColor="background1"/>
                <w:lang w:val="es-ES"/>
              </w:rPr>
              <w:t xml:space="preserve">BASE LEGAL </w:t>
            </w:r>
          </w:p>
        </w:tc>
      </w:tr>
      <w:tr w:rsidR="00A53F86" w:rsidRPr="00AC7BF3" w:rsidTr="00A53F86">
        <w:trPr>
          <w:trHeight w:val="20"/>
        </w:trPr>
        <w:tc>
          <w:tcPr>
            <w:tcW w:w="1291" w:type="dxa"/>
            <w:tcBorders>
              <w:top w:val="single" w:sz="8" w:space="0" w:color="FFFFFF" w:themeColor="background1"/>
            </w:tcBorders>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tcBorders>
              <w:top w:val="single" w:sz="8" w:space="0" w:color="FFFFFF" w:themeColor="background1"/>
            </w:tcBorders>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tcBorders>
              <w:top w:val="single" w:sz="8" w:space="0" w:color="FFFFFF" w:themeColor="background1"/>
            </w:tcBorders>
            <w:shd w:val="clear" w:color="auto" w:fill="auto"/>
            <w:vAlign w:val="center"/>
          </w:tcPr>
          <w:p w:rsidR="00A53F86" w:rsidRPr="00AC7BF3" w:rsidRDefault="00A53F86" w:rsidP="005311FC">
            <w:pPr>
              <w:rPr>
                <w:rFonts w:asciiTheme="minorHAnsi" w:hAnsiTheme="minorHAnsi" w:cs="Arial"/>
                <w:color w:val="000000"/>
                <w:lang w:val="en-US"/>
              </w:rPr>
            </w:pPr>
            <w:r>
              <w:rPr>
                <w:rFonts w:asciiTheme="minorHAnsi" w:hAnsiTheme="minorHAnsi" w:cs="Arial"/>
                <w:color w:val="000000"/>
                <w:lang w:val="en-US"/>
              </w:rPr>
              <w:t>I</w:t>
            </w:r>
            <w:r w:rsidRPr="00615937">
              <w:rPr>
                <w:rFonts w:asciiTheme="minorHAnsi" w:hAnsiTheme="minorHAnsi" w:cs="Arial"/>
                <w:color w:val="000000"/>
                <w:lang w:val="en-US"/>
              </w:rPr>
              <w:t xml:space="preserve">ndication by labelling and standard product information of the consumption of energy and other resources by energy-related products  </w:t>
            </w:r>
          </w:p>
        </w:tc>
        <w:tc>
          <w:tcPr>
            <w:tcW w:w="1560" w:type="dxa"/>
            <w:tcBorders>
              <w:top w:val="single" w:sz="8" w:space="0" w:color="FFFFFF" w:themeColor="background1"/>
            </w:tcBorders>
            <w:shd w:val="clear" w:color="auto" w:fill="auto"/>
            <w:vAlign w:val="center"/>
            <w:hideMark/>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2010/30/EU</w:t>
            </w:r>
          </w:p>
        </w:tc>
        <w:tc>
          <w:tcPr>
            <w:tcW w:w="1275" w:type="dxa"/>
            <w:tcBorders>
              <w:top w:val="single" w:sz="8" w:space="0" w:color="FFFFFF" w:themeColor="background1"/>
            </w:tcBorders>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May-2010</w:t>
            </w:r>
          </w:p>
        </w:tc>
        <w:tc>
          <w:tcPr>
            <w:tcW w:w="1701" w:type="dxa"/>
            <w:tcBorders>
              <w:top w:val="single" w:sz="8" w:space="0" w:color="FFFFFF" w:themeColor="background1"/>
            </w:tcBorders>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Jun-2011</w:t>
            </w:r>
          </w:p>
        </w:tc>
        <w:tc>
          <w:tcPr>
            <w:tcW w:w="1276" w:type="dxa"/>
            <w:tcBorders>
              <w:top w:val="single" w:sz="8" w:space="0" w:color="FFFFFF" w:themeColor="background1"/>
            </w:tcBorders>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tcBorders>
              <w:top w:val="single" w:sz="8" w:space="0" w:color="FFFFFF" w:themeColor="background1"/>
            </w:tcBorders>
            <w:vAlign w:val="center"/>
          </w:tcPr>
          <w:p w:rsidR="00A53F86" w:rsidRPr="00AC7BF3" w:rsidRDefault="00A53F86" w:rsidP="005311FC">
            <w:pPr>
              <w:jc w:val="center"/>
              <w:rPr>
                <w:rFonts w:asciiTheme="minorHAnsi" w:hAnsiTheme="minorHAnsi" w:cs="Arial"/>
                <w:color w:val="000000"/>
                <w:lang w:val="es-ES"/>
              </w:rPr>
            </w:pPr>
          </w:p>
        </w:tc>
        <w:tc>
          <w:tcPr>
            <w:tcW w:w="993" w:type="dxa"/>
            <w:tcBorders>
              <w:top w:val="single" w:sz="8" w:space="0" w:color="FFFFFF" w:themeColor="background1"/>
            </w:tcBorders>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194 (2)</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Eco-label award scheme regulation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R 1980/2000</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Jul-2000</w:t>
            </w: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175 (2)</w:t>
            </w:r>
          </w:p>
        </w:tc>
      </w:tr>
      <w:tr w:rsidR="00A53F86" w:rsidRPr="00AC7BF3" w:rsidTr="006E2F4F">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Environmental liability with regard to the prevention and remedying of environmental damage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2004/35/EC</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Abr-2004</w:t>
            </w:r>
          </w:p>
        </w:tc>
        <w:tc>
          <w:tcPr>
            <w:tcW w:w="1701"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Abr-2007</w:t>
            </w: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auto"/>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175 (2)</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Exposure to artificial optical radiation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2006/25/EC</w:t>
            </w:r>
          </w:p>
        </w:tc>
        <w:tc>
          <w:tcPr>
            <w:tcW w:w="1275"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Abr-2006</w:t>
            </w:r>
          </w:p>
        </w:tc>
        <w:tc>
          <w:tcPr>
            <w:tcW w:w="1701"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Abr-2010</w:t>
            </w:r>
          </w:p>
        </w:tc>
        <w:tc>
          <w:tcPr>
            <w:tcW w:w="1276" w:type="dxa"/>
            <w:shd w:val="clear" w:color="auto" w:fill="auto"/>
          </w:tcPr>
          <w:p w:rsidR="00A53F86" w:rsidRPr="00AC7BF3" w:rsidRDefault="00A53F86" w:rsidP="005311FC">
            <w:pPr>
              <w:jc w:val="center"/>
              <w:rPr>
                <w:rFonts w:asciiTheme="minorHAnsi" w:hAnsiTheme="minorHAnsi" w:cs="Arial"/>
                <w:color w:val="000000"/>
                <w:lang w:val="en-US"/>
              </w:rPr>
            </w:pPr>
          </w:p>
        </w:tc>
        <w:tc>
          <w:tcPr>
            <w:tcW w:w="992" w:type="dxa"/>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137 (2)</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Promotion of the use of energy from renewable sources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2009/28/EC</w:t>
            </w:r>
          </w:p>
        </w:tc>
        <w:tc>
          <w:tcPr>
            <w:tcW w:w="1275" w:type="dxa"/>
            <w:vAlign w:val="center"/>
          </w:tcPr>
          <w:p w:rsidR="00A53F86" w:rsidRPr="00AC7BF3" w:rsidRDefault="00A53F86" w:rsidP="005311FC">
            <w:pPr>
              <w:jc w:val="center"/>
              <w:rPr>
                <w:rFonts w:asciiTheme="minorHAnsi" w:hAnsiTheme="minorHAnsi" w:cs="Arial"/>
                <w:color w:val="000000"/>
              </w:rPr>
            </w:pPr>
          </w:p>
        </w:tc>
        <w:tc>
          <w:tcPr>
            <w:tcW w:w="1701" w:type="dxa"/>
            <w:vAlign w:val="center"/>
          </w:tcPr>
          <w:p w:rsidR="00A53F86" w:rsidRPr="00AC7BF3" w:rsidRDefault="00A53F86" w:rsidP="005311FC">
            <w:pPr>
              <w:jc w:val="center"/>
              <w:rPr>
                <w:rFonts w:asciiTheme="minorHAnsi" w:hAnsiTheme="minorHAnsi" w:cs="Arial"/>
                <w:color w:val="000000"/>
              </w:rPr>
            </w:pPr>
          </w:p>
        </w:tc>
        <w:tc>
          <w:tcPr>
            <w:tcW w:w="1276" w:type="dxa"/>
            <w:shd w:val="clear" w:color="auto" w:fill="auto"/>
          </w:tcPr>
          <w:p w:rsidR="00A53F86" w:rsidRPr="00AC7BF3" w:rsidRDefault="00A53F86" w:rsidP="005311FC">
            <w:pPr>
              <w:jc w:val="center"/>
              <w:rPr>
                <w:rFonts w:asciiTheme="minorHAnsi" w:hAnsiTheme="minorHAnsi" w:cs="Arial"/>
                <w:color w:val="000000"/>
              </w:rPr>
            </w:pPr>
          </w:p>
        </w:tc>
        <w:tc>
          <w:tcPr>
            <w:tcW w:w="992" w:type="dxa"/>
            <w:vAlign w:val="center"/>
          </w:tcPr>
          <w:p w:rsidR="00A53F86" w:rsidRPr="00AC7BF3" w:rsidRDefault="00A53F86" w:rsidP="005311FC">
            <w:pPr>
              <w:jc w:val="center"/>
              <w:rPr>
                <w:rFonts w:asciiTheme="minorHAnsi" w:hAnsiTheme="minorHAnsi" w:cs="Arial"/>
                <w:color w:val="000000"/>
              </w:rPr>
            </w:pPr>
          </w:p>
        </w:tc>
        <w:tc>
          <w:tcPr>
            <w:tcW w:w="993" w:type="dxa"/>
            <w:vAlign w:val="center"/>
          </w:tcPr>
          <w:p w:rsidR="00A53F86" w:rsidRPr="00AC7BF3" w:rsidRDefault="00A53F86" w:rsidP="005311FC">
            <w:pPr>
              <w:jc w:val="center"/>
              <w:rPr>
                <w:rFonts w:asciiTheme="minorHAnsi" w:hAnsiTheme="minorHAnsi" w:cs="Arial"/>
                <w:color w:val="000000"/>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ATEX</w:t>
            </w:r>
          </w:p>
        </w:tc>
        <w:tc>
          <w:tcPr>
            <w:tcW w:w="4819" w:type="dxa"/>
            <w:shd w:val="clear" w:color="auto" w:fill="auto"/>
            <w:vAlign w:val="center"/>
            <w:hideMark/>
          </w:tcPr>
          <w:p w:rsidR="00A53F86" w:rsidRPr="00615937" w:rsidRDefault="00A53F86" w:rsidP="005311FC">
            <w:pPr>
              <w:rPr>
                <w:rFonts w:asciiTheme="minorHAnsi" w:hAnsiTheme="minorHAnsi" w:cs="Arial"/>
                <w:color w:val="000000"/>
                <w:lang w:val="en-US"/>
              </w:rPr>
            </w:pPr>
            <w:r w:rsidRPr="00615937">
              <w:rPr>
                <w:rFonts w:asciiTheme="minorHAnsi" w:hAnsiTheme="minorHAnsi" w:cs="Arial"/>
                <w:color w:val="000000"/>
                <w:lang w:val="en-US"/>
              </w:rPr>
              <w:t>ATEX Product Directive (Equipment for explosive atmospheres</w:t>
            </w:r>
            <w:r>
              <w:rPr>
                <w:rFonts w:asciiTheme="minorHAnsi" w:hAnsiTheme="minorHAnsi" w:cs="Arial"/>
                <w:color w:val="000000"/>
                <w:lang w:val="en-US"/>
              </w:rPr>
              <w:t>)</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94/9/CE</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Mar-1994</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Sep-1995</w:t>
            </w:r>
          </w:p>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Mar-1996</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400/1996</w:t>
            </w:r>
          </w:p>
        </w:tc>
        <w:tc>
          <w:tcPr>
            <w:tcW w:w="992" w:type="dxa"/>
            <w:shd w:val="clear" w:color="auto" w:fill="00B050"/>
            <w:vAlign w:val="center"/>
          </w:tcPr>
          <w:p w:rsidR="00A53F86" w:rsidRPr="00AC7BF3" w:rsidRDefault="006E2F4F" w:rsidP="005311FC">
            <w:pPr>
              <w:jc w:val="center"/>
              <w:rPr>
                <w:rFonts w:asciiTheme="minorHAnsi" w:hAnsiTheme="minorHAnsi" w:cs="Arial"/>
                <w:color w:val="000000"/>
                <w:lang w:val="es-ES"/>
              </w:rPr>
            </w:pPr>
            <w:r>
              <w:rPr>
                <w:rFonts w:asciiTheme="minorHAnsi" w:hAnsiTheme="minorHAnsi" w:cs="Arial"/>
                <w:color w:val="000000"/>
                <w:lang w:val="es-ES"/>
              </w:rPr>
              <w:t>BAJA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100A</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CPR</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Construction Products Regulation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R 305/2011/EC</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Mar-2011</w:t>
            </w:r>
          </w:p>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Jul-2013</w:t>
            </w: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114</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EMAS</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Eco-management and audit scheme regulation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R 761/2001</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Mar-2001</w:t>
            </w: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175</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EMFP</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Exposure of general public to electromagnetic fields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Recommendation 1999/519/CE</w:t>
            </w: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FF0000"/>
            <w:vAlign w:val="center"/>
          </w:tcPr>
          <w:p w:rsidR="00A53F86" w:rsidRPr="00AC7BF3" w:rsidRDefault="006E2F4F" w:rsidP="005311FC">
            <w:pPr>
              <w:jc w:val="center"/>
              <w:rPr>
                <w:rFonts w:asciiTheme="minorHAnsi" w:hAnsiTheme="minorHAnsi" w:cs="Arial"/>
                <w:color w:val="000000"/>
                <w:lang w:val="en-US"/>
              </w:rPr>
            </w:pPr>
            <w:r>
              <w:rPr>
                <w:rFonts w:asciiTheme="minorHAnsi" w:hAnsiTheme="minorHAnsi" w:cs="Arial"/>
                <w:color w:val="000000"/>
                <w:lang w:val="en-US"/>
              </w:rPr>
              <w:t>ALTA</w:t>
            </w:r>
          </w:p>
        </w:tc>
        <w:tc>
          <w:tcPr>
            <w:tcW w:w="993" w:type="dxa"/>
            <w:vAlign w:val="center"/>
          </w:tcPr>
          <w:p w:rsidR="00A53F86" w:rsidRPr="00AC7BF3" w:rsidRDefault="00A53F86" w:rsidP="005311FC">
            <w:pPr>
              <w:jc w:val="center"/>
              <w:rPr>
                <w:rFonts w:asciiTheme="minorHAnsi" w:hAnsiTheme="minorHAnsi" w:cs="Arial"/>
                <w:color w:val="000000"/>
                <w:lang w:val="en-US"/>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EPBD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Energy performance of buildings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2002/91/EC</w:t>
            </w:r>
          </w:p>
        </w:tc>
        <w:tc>
          <w:tcPr>
            <w:tcW w:w="1275"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Jan-2003</w:t>
            </w:r>
          </w:p>
        </w:tc>
        <w:tc>
          <w:tcPr>
            <w:tcW w:w="1701"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Jan-2006</w:t>
            </w:r>
          </w:p>
        </w:tc>
        <w:tc>
          <w:tcPr>
            <w:tcW w:w="1276" w:type="dxa"/>
            <w:shd w:val="clear" w:color="auto" w:fill="auto"/>
          </w:tcPr>
          <w:p w:rsidR="00A53F86" w:rsidRPr="00AC7BF3" w:rsidRDefault="00A53F86" w:rsidP="005311FC">
            <w:pPr>
              <w:jc w:val="center"/>
              <w:rPr>
                <w:rFonts w:asciiTheme="minorHAnsi" w:hAnsiTheme="minorHAnsi" w:cs="Arial"/>
                <w:color w:val="000000"/>
                <w:lang w:val="en-US"/>
              </w:rPr>
            </w:pPr>
          </w:p>
        </w:tc>
        <w:tc>
          <w:tcPr>
            <w:tcW w:w="992" w:type="dxa"/>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175 (1)</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GAD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n-US"/>
              </w:rPr>
              <w:t>Gas appliances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2009/142/EC</w:t>
            </w: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Appliances burning gaseous fuels</w:t>
            </w:r>
          </w:p>
        </w:tc>
        <w:tc>
          <w:tcPr>
            <w:tcW w:w="993" w:type="dxa"/>
            <w:vAlign w:val="center"/>
          </w:tcPr>
          <w:p w:rsidR="00A53F86" w:rsidRPr="00AC7BF3" w:rsidRDefault="00A53F86" w:rsidP="005311FC">
            <w:pPr>
              <w:jc w:val="center"/>
              <w:rPr>
                <w:rFonts w:asciiTheme="minorHAnsi" w:hAnsiTheme="minorHAnsi" w:cs="Arial"/>
                <w:color w:val="000000"/>
                <w:lang w:val="en-US"/>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MD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Machinery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2006/42/EC</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Jun-2006</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Jun-2008</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1644/2008</w:t>
            </w:r>
          </w:p>
          <w:p w:rsidR="003C22E4" w:rsidRDefault="003C22E4" w:rsidP="005311FC">
            <w:pPr>
              <w:jc w:val="center"/>
              <w:rPr>
                <w:rFonts w:asciiTheme="minorHAnsi" w:hAnsiTheme="minorHAnsi" w:cs="Arial"/>
                <w:color w:val="000000"/>
                <w:lang w:val="es-ES"/>
              </w:rPr>
            </w:pPr>
            <w:r>
              <w:rPr>
                <w:rFonts w:asciiTheme="minorHAnsi" w:hAnsiTheme="minorHAnsi" w:cs="Arial"/>
                <w:color w:val="000000"/>
                <w:lang w:val="es-ES"/>
              </w:rPr>
              <w:t>RD 494/2012</w:t>
            </w: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95</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PED</w:t>
            </w:r>
          </w:p>
        </w:tc>
        <w:tc>
          <w:tcPr>
            <w:tcW w:w="4819" w:type="dxa"/>
            <w:shd w:val="clear" w:color="auto" w:fill="auto"/>
            <w:vAlign w:val="center"/>
            <w:hideMark/>
          </w:tcPr>
          <w:p w:rsidR="00A53F86" w:rsidRPr="00ED0099" w:rsidRDefault="00A53F86" w:rsidP="005311FC">
            <w:pPr>
              <w:rPr>
                <w:rFonts w:asciiTheme="minorHAnsi" w:hAnsiTheme="minorHAnsi" w:cs="Arial"/>
                <w:color w:val="000000"/>
                <w:lang w:val="en-US"/>
              </w:rPr>
            </w:pPr>
            <w:r w:rsidRPr="002F42C0">
              <w:rPr>
                <w:rFonts w:asciiTheme="minorHAnsi" w:hAnsiTheme="minorHAnsi" w:cs="Arial"/>
                <w:color w:val="000000"/>
                <w:lang w:val="en-US"/>
              </w:rPr>
              <w:t>Pressure Equipment Directive</w:t>
            </w:r>
          </w:p>
        </w:tc>
        <w:tc>
          <w:tcPr>
            <w:tcW w:w="1560" w:type="dxa"/>
            <w:shd w:val="clear" w:color="auto" w:fill="auto"/>
            <w:vAlign w:val="center"/>
            <w:hideMark/>
          </w:tcPr>
          <w:p w:rsidR="00A53F86"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97/23/EC</w:t>
            </w:r>
          </w:p>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2014/68/EU (NLF)</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Jun-2014</w:t>
            </w:r>
          </w:p>
        </w:tc>
        <w:tc>
          <w:tcPr>
            <w:tcW w:w="1701" w:type="dxa"/>
            <w:vAlign w:val="center"/>
          </w:tcPr>
          <w:p w:rsidR="00A53F86" w:rsidRDefault="00A53F86" w:rsidP="005311FC">
            <w:pPr>
              <w:jc w:val="center"/>
              <w:rPr>
                <w:rFonts w:asciiTheme="minorHAnsi" w:hAnsiTheme="minorHAnsi" w:cs="Arial"/>
                <w:color w:val="000000"/>
                <w:lang w:val="es-ES"/>
              </w:rPr>
            </w:pPr>
            <w:r>
              <w:rPr>
                <w:rFonts w:asciiTheme="minorHAnsi" w:hAnsiTheme="minorHAnsi" w:cs="Arial"/>
                <w:color w:val="000000"/>
                <w:lang w:val="es-ES"/>
              </w:rPr>
              <w:t>Feb-2015</w:t>
            </w:r>
          </w:p>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Jul-2016 (application date)</w:t>
            </w: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8C24EC">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PLD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Product Liability Directive</w:t>
            </w:r>
          </w:p>
        </w:tc>
        <w:tc>
          <w:tcPr>
            <w:tcW w:w="1560" w:type="dxa"/>
            <w:shd w:val="clear" w:color="auto" w:fill="auto"/>
            <w:vAlign w:val="center"/>
            <w:hideMark/>
          </w:tcPr>
          <w:p w:rsidR="008C24EC" w:rsidRDefault="008C24EC" w:rsidP="005311FC">
            <w:pPr>
              <w:jc w:val="center"/>
              <w:rPr>
                <w:rFonts w:asciiTheme="minorHAnsi" w:hAnsiTheme="minorHAnsi" w:cs="Arial"/>
                <w:color w:val="000000"/>
                <w:lang w:val="es-ES"/>
              </w:rPr>
            </w:pPr>
            <w:r>
              <w:rPr>
                <w:rFonts w:asciiTheme="minorHAnsi" w:hAnsiTheme="minorHAnsi" w:cs="Arial"/>
                <w:color w:val="000000"/>
                <w:lang w:val="es-ES"/>
              </w:rPr>
              <w:t>85/374/CEE</w:t>
            </w:r>
          </w:p>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1999/34/CE</w:t>
            </w:r>
          </w:p>
        </w:tc>
        <w:tc>
          <w:tcPr>
            <w:tcW w:w="1275" w:type="dxa"/>
            <w:vAlign w:val="center"/>
          </w:tcPr>
          <w:p w:rsidR="00A53F86" w:rsidRPr="00AC7BF3" w:rsidRDefault="00A53F86" w:rsidP="005311FC">
            <w:pPr>
              <w:jc w:val="center"/>
              <w:rPr>
                <w:rFonts w:asciiTheme="minorHAnsi" w:hAnsiTheme="minorHAnsi" w:cs="Arial"/>
                <w:color w:val="000000"/>
                <w:lang w:val="es-ES"/>
              </w:rPr>
            </w:pPr>
          </w:p>
        </w:tc>
        <w:tc>
          <w:tcPr>
            <w:tcW w:w="1701" w:type="dxa"/>
            <w:vAlign w:val="center"/>
          </w:tcPr>
          <w:p w:rsidR="00A53F86" w:rsidRPr="00AC7BF3" w:rsidRDefault="008C24EC" w:rsidP="005311FC">
            <w:pPr>
              <w:jc w:val="center"/>
              <w:rPr>
                <w:rFonts w:asciiTheme="minorHAnsi" w:hAnsiTheme="minorHAnsi" w:cs="Arial"/>
                <w:color w:val="000000"/>
                <w:lang w:val="es-ES"/>
              </w:rPr>
            </w:pPr>
            <w:r>
              <w:rPr>
                <w:rFonts w:asciiTheme="minorHAnsi" w:hAnsiTheme="minorHAnsi" w:cs="Arial"/>
                <w:color w:val="000000"/>
                <w:lang w:val="es-ES"/>
              </w:rPr>
              <w:t>Dic-2000</w:t>
            </w:r>
          </w:p>
        </w:tc>
        <w:tc>
          <w:tcPr>
            <w:tcW w:w="1276" w:type="dxa"/>
            <w:shd w:val="clear" w:color="auto" w:fill="auto"/>
          </w:tcPr>
          <w:p w:rsidR="00A53F86" w:rsidRDefault="00D851D2" w:rsidP="005311FC">
            <w:pPr>
              <w:jc w:val="center"/>
              <w:rPr>
                <w:rFonts w:asciiTheme="minorHAnsi" w:hAnsiTheme="minorHAnsi" w:cs="Arial"/>
                <w:color w:val="000000"/>
                <w:lang w:val="es-ES"/>
              </w:rPr>
            </w:pPr>
            <w:r>
              <w:rPr>
                <w:rFonts w:asciiTheme="minorHAnsi" w:hAnsiTheme="minorHAnsi" w:cs="Arial"/>
                <w:color w:val="000000"/>
                <w:lang w:val="es-ES"/>
              </w:rPr>
              <w:t>Ley 22/1994</w:t>
            </w:r>
          </w:p>
          <w:p w:rsidR="00D851D2" w:rsidRDefault="00D851D2" w:rsidP="005311FC">
            <w:pPr>
              <w:jc w:val="center"/>
              <w:rPr>
                <w:rFonts w:asciiTheme="minorHAnsi" w:hAnsiTheme="minorHAnsi" w:cs="Arial"/>
                <w:color w:val="000000"/>
                <w:lang w:val="es-ES"/>
              </w:rPr>
            </w:pPr>
            <w:r>
              <w:rPr>
                <w:rFonts w:asciiTheme="minorHAnsi" w:hAnsiTheme="minorHAnsi" w:cs="Arial"/>
                <w:color w:val="000000"/>
                <w:lang w:val="es-ES"/>
              </w:rPr>
              <w:t>RDL 1/2007</w:t>
            </w:r>
          </w:p>
        </w:tc>
        <w:tc>
          <w:tcPr>
            <w:tcW w:w="992" w:type="dxa"/>
            <w:shd w:val="clear" w:color="auto" w:fill="FF0000"/>
            <w:vAlign w:val="center"/>
          </w:tcPr>
          <w:p w:rsidR="00A53F86" w:rsidRPr="00AC7BF3" w:rsidRDefault="008C24EC" w:rsidP="005311FC">
            <w:pPr>
              <w:jc w:val="center"/>
              <w:rPr>
                <w:rFonts w:asciiTheme="minorHAnsi" w:hAnsiTheme="minorHAnsi" w:cs="Arial"/>
                <w:color w:val="000000"/>
                <w:lang w:val="es-ES"/>
              </w:rPr>
            </w:pPr>
            <w:r>
              <w:rPr>
                <w:rFonts w:asciiTheme="minorHAnsi" w:hAnsiTheme="minorHAnsi" w:cs="Arial"/>
                <w:color w:val="000000"/>
                <w:lang w:val="es-ES"/>
              </w:rPr>
              <w:t>ALTA</w:t>
            </w: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6E2F4F">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REACH</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Registration, Evaluation, Authorisation and Restriction of chemicals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R 1907/2006</w:t>
            </w:r>
          </w:p>
        </w:tc>
        <w:tc>
          <w:tcPr>
            <w:tcW w:w="1275"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Dec-2006</w:t>
            </w: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auto"/>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95</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SPV</w:t>
            </w:r>
          </w:p>
        </w:tc>
        <w:tc>
          <w:tcPr>
            <w:tcW w:w="4819" w:type="dxa"/>
            <w:shd w:val="clear" w:color="auto" w:fill="auto"/>
            <w:vAlign w:val="center"/>
            <w:hideMark/>
          </w:tcPr>
          <w:p w:rsidR="00A53F86" w:rsidRPr="002F42C0" w:rsidRDefault="00A53F86" w:rsidP="005311FC">
            <w:pPr>
              <w:rPr>
                <w:rFonts w:asciiTheme="minorHAnsi" w:hAnsiTheme="minorHAnsi" w:cs="Arial"/>
                <w:color w:val="000000"/>
                <w:lang w:val="en-US"/>
              </w:rPr>
            </w:pPr>
            <w:r w:rsidRPr="002F42C0">
              <w:rPr>
                <w:rFonts w:asciiTheme="minorHAnsi" w:hAnsiTheme="minorHAnsi" w:cs="Arial"/>
                <w:color w:val="000000"/>
                <w:lang w:val="en-US"/>
              </w:rPr>
              <w:t>Simple Pressure Vessel Directive</w:t>
            </w:r>
          </w:p>
          <w:p w:rsidR="00A53F86" w:rsidRPr="002F42C0" w:rsidRDefault="00A53F86" w:rsidP="005311FC">
            <w:pPr>
              <w:rPr>
                <w:rFonts w:asciiTheme="minorHAnsi" w:hAnsiTheme="minorHAnsi" w:cs="Arial"/>
                <w:color w:val="000000"/>
                <w:lang w:val="en-US"/>
              </w:rPr>
            </w:pPr>
            <w:r w:rsidRPr="002F42C0">
              <w:rPr>
                <w:rFonts w:asciiTheme="minorHAnsi" w:hAnsiTheme="minorHAnsi" w:cs="Arial"/>
                <w:color w:val="000000"/>
                <w:lang w:val="en-US"/>
              </w:rPr>
              <w:t>Directive 2009/105/EC</w:t>
            </w:r>
            <w:r>
              <w:rPr>
                <w:rFonts w:asciiTheme="minorHAnsi" w:hAnsiTheme="minorHAnsi" w:cs="Arial"/>
                <w:color w:val="000000"/>
                <w:lang w:val="en-US"/>
              </w:rPr>
              <w:t xml:space="preserve"> </w:t>
            </w:r>
            <w:r w:rsidRPr="002F42C0">
              <w:rPr>
                <w:rFonts w:asciiTheme="minorHAnsi" w:hAnsiTheme="minorHAnsi" w:cs="Arial"/>
                <w:color w:val="000000"/>
                <w:lang w:val="en-US"/>
              </w:rPr>
              <w:t>(codified version)</w:t>
            </w:r>
          </w:p>
        </w:tc>
        <w:tc>
          <w:tcPr>
            <w:tcW w:w="1560" w:type="dxa"/>
            <w:shd w:val="clear" w:color="auto" w:fill="auto"/>
            <w:vAlign w:val="center"/>
            <w:hideMark/>
          </w:tcPr>
          <w:p w:rsidR="00A53F86"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87/404/CE</w:t>
            </w:r>
          </w:p>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2009/105/EC</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Oct-2009</w:t>
            </w: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95</w:t>
            </w:r>
          </w:p>
        </w:tc>
      </w:tr>
      <w:tr w:rsidR="00A53F86" w:rsidRPr="00AC7BF3" w:rsidTr="006E2F4F">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WD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Waste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2008/98/EC</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Nov-2008</w:t>
            </w:r>
          </w:p>
        </w:tc>
        <w:tc>
          <w:tcPr>
            <w:tcW w:w="1701"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Dec-2010</w:t>
            </w: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auto"/>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175 (1)</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ROHS</w:t>
            </w:r>
            <w:r>
              <w:rPr>
                <w:rFonts w:asciiTheme="minorHAnsi" w:hAnsiTheme="minorHAnsi" w:cs="Arial"/>
                <w:color w:val="000000"/>
              </w:rPr>
              <w:t xml:space="preserve"> 2</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Restriction of the use of certain Hazardous Substances in electrical and electronic equipment</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2011/65/EC</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Jul-2011</w:t>
            </w:r>
          </w:p>
        </w:tc>
        <w:tc>
          <w:tcPr>
            <w:tcW w:w="1701"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Jan-2013</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208/2005</w:t>
            </w: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114</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WEEE</w:t>
            </w:r>
            <w:r>
              <w:rPr>
                <w:rFonts w:asciiTheme="minorHAnsi" w:hAnsiTheme="minorHAnsi" w:cs="Arial"/>
                <w:color w:val="000000"/>
              </w:rPr>
              <w:t xml:space="preserve"> 2</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Directive on Waste Electrical and Electronic Equipment</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2012/19/EU</w:t>
            </w:r>
          </w:p>
        </w:tc>
        <w:tc>
          <w:tcPr>
            <w:tcW w:w="1275"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Jul-2012</w:t>
            </w:r>
          </w:p>
        </w:tc>
        <w:tc>
          <w:tcPr>
            <w:tcW w:w="1701"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Feb-2014</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208/2005</w:t>
            </w: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192 (1)</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EED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Directive on Energy Efficiency</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2012/27/EU</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Oct-2012</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Jun-2014</w:t>
            </w: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194</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EMFW</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Health and safety requirements regarding the exposure of workers to the risks arising from physical agents (electromagnetic fields).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2013/35/EU</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Jun-2013</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Jul-2016</w:t>
            </w: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00B050"/>
            <w:vAlign w:val="center"/>
          </w:tcPr>
          <w:p w:rsidR="00A53F86" w:rsidRPr="00AC7BF3" w:rsidRDefault="006E2F4F" w:rsidP="005311FC">
            <w:pPr>
              <w:jc w:val="center"/>
              <w:rPr>
                <w:rFonts w:asciiTheme="minorHAnsi" w:hAnsiTheme="minorHAnsi" w:cs="Arial"/>
                <w:color w:val="000000"/>
                <w:lang w:val="es-ES"/>
              </w:rPr>
            </w:pPr>
            <w:r>
              <w:rPr>
                <w:rFonts w:asciiTheme="minorHAnsi" w:hAnsiTheme="minorHAnsi" w:cs="Arial"/>
                <w:color w:val="000000"/>
                <w:lang w:val="es-ES"/>
              </w:rPr>
              <w:t>BAJA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153 (2)</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EMCD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Electromagnetic Compatibility</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2014/34/EU</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Ene-2005</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Ene-2007</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1580/2006</w:t>
            </w:r>
          </w:p>
        </w:tc>
        <w:tc>
          <w:tcPr>
            <w:tcW w:w="992" w:type="dxa"/>
            <w:shd w:val="clear" w:color="auto" w:fill="FFFF00"/>
            <w:vAlign w:val="center"/>
          </w:tcPr>
          <w:p w:rsidR="00A53F86" w:rsidRPr="00AC7BF3" w:rsidRDefault="006E2F4F" w:rsidP="005311FC">
            <w:pPr>
              <w:jc w:val="center"/>
              <w:rPr>
                <w:rFonts w:asciiTheme="minorHAnsi" w:hAnsiTheme="minorHAnsi" w:cs="Arial"/>
                <w:color w:val="000000"/>
                <w:lang w:val="es-ES"/>
              </w:rPr>
            </w:pPr>
            <w:r>
              <w:rPr>
                <w:rFonts w:asciiTheme="minorHAnsi" w:hAnsiTheme="minorHAnsi" w:cs="Arial"/>
                <w:color w:val="000000"/>
                <w:lang w:val="es-ES"/>
              </w:rPr>
              <w:t>MEDIA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95</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LVD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Low Voltage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2014/35/EU</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Ene-2007</w:t>
            </w: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(1)</w:t>
            </w:r>
          </w:p>
        </w:tc>
        <w:tc>
          <w:tcPr>
            <w:tcW w:w="992" w:type="dxa"/>
            <w:shd w:val="clear" w:color="auto" w:fill="00B050"/>
            <w:vAlign w:val="center"/>
          </w:tcPr>
          <w:p w:rsidR="00A53F86" w:rsidRPr="00AC7BF3" w:rsidRDefault="006E2F4F" w:rsidP="005311FC">
            <w:pPr>
              <w:jc w:val="center"/>
              <w:rPr>
                <w:rFonts w:asciiTheme="minorHAnsi" w:hAnsiTheme="minorHAnsi" w:cs="Arial"/>
                <w:color w:val="000000"/>
                <w:lang w:val="es-ES"/>
              </w:rPr>
            </w:pPr>
            <w:r>
              <w:rPr>
                <w:rFonts w:asciiTheme="minorHAnsi" w:hAnsiTheme="minorHAnsi" w:cs="Arial"/>
                <w:color w:val="000000"/>
                <w:lang w:val="es-ES"/>
              </w:rPr>
              <w:t>BAJA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95</w:t>
            </w:r>
          </w:p>
        </w:tc>
      </w:tr>
      <w:tr w:rsidR="00A53F86" w:rsidRPr="00AC7BF3"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REVISIÓN</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Noise emission in the environment by equipment for use outdoors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R 2005/88/EC</w:t>
            </w:r>
          </w:p>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2000/14/EC</w:t>
            </w:r>
          </w:p>
        </w:tc>
        <w:tc>
          <w:tcPr>
            <w:tcW w:w="1275" w:type="dxa"/>
            <w:vAlign w:val="center"/>
          </w:tcPr>
          <w:p w:rsidR="00A53F86" w:rsidRPr="00AC7BF3" w:rsidRDefault="00A53F86" w:rsidP="005311FC">
            <w:pPr>
              <w:jc w:val="center"/>
              <w:rPr>
                <w:rFonts w:asciiTheme="minorHAnsi" w:hAnsiTheme="minorHAnsi" w:cs="Arial"/>
                <w:color w:val="000000"/>
                <w:lang w:val="es-ES"/>
              </w:rPr>
            </w:pP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ERPD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Eco-design requirements for energy-related products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2009/125/EC</w:t>
            </w:r>
          </w:p>
        </w:tc>
        <w:tc>
          <w:tcPr>
            <w:tcW w:w="1275"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Nov-2009</w:t>
            </w:r>
          </w:p>
        </w:tc>
        <w:tc>
          <w:tcPr>
            <w:tcW w:w="1701"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Nov-2010</w:t>
            </w:r>
          </w:p>
        </w:tc>
        <w:tc>
          <w:tcPr>
            <w:tcW w:w="1276" w:type="dxa"/>
            <w:shd w:val="clear" w:color="auto" w:fill="auto"/>
          </w:tcPr>
          <w:p w:rsidR="00A53F86" w:rsidRDefault="003C22E4" w:rsidP="005311FC">
            <w:pPr>
              <w:jc w:val="center"/>
              <w:rPr>
                <w:rFonts w:asciiTheme="minorHAnsi" w:hAnsiTheme="minorHAnsi" w:cs="Arial"/>
                <w:color w:val="000000"/>
                <w:lang w:val="es-ES"/>
              </w:rPr>
            </w:pPr>
            <w:r>
              <w:rPr>
                <w:rFonts w:asciiTheme="minorHAnsi" w:hAnsiTheme="minorHAnsi" w:cs="Arial"/>
                <w:color w:val="000000"/>
                <w:lang w:val="es-ES"/>
              </w:rPr>
              <w:t>RD 187/2011</w:t>
            </w:r>
          </w:p>
        </w:tc>
        <w:tc>
          <w:tcPr>
            <w:tcW w:w="992" w:type="dxa"/>
            <w:shd w:val="clear" w:color="auto" w:fill="FF0000"/>
            <w:vAlign w:val="center"/>
          </w:tcPr>
          <w:p w:rsidR="00A53F86" w:rsidRPr="00AC7BF3" w:rsidRDefault="006E2F4F" w:rsidP="005311FC">
            <w:pPr>
              <w:jc w:val="center"/>
              <w:rPr>
                <w:rFonts w:asciiTheme="minorHAnsi" w:hAnsiTheme="minorHAnsi" w:cs="Arial"/>
                <w:color w:val="000000"/>
                <w:lang w:val="es-ES"/>
              </w:rPr>
            </w:pPr>
            <w:r>
              <w:rPr>
                <w:rFonts w:asciiTheme="minorHAnsi" w:hAnsiTheme="minorHAnsi" w:cs="Arial"/>
                <w:color w:val="000000"/>
                <w:lang w:val="es-ES"/>
              </w:rPr>
              <w:t>ALTA</w:t>
            </w:r>
          </w:p>
        </w:tc>
        <w:tc>
          <w:tcPr>
            <w:tcW w:w="993" w:type="dxa"/>
            <w:vAlign w:val="center"/>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95</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VIGOR</w:t>
            </w:r>
          </w:p>
        </w:tc>
        <w:tc>
          <w:tcPr>
            <w:tcW w:w="709" w:type="dxa"/>
            <w:shd w:val="clear" w:color="auto" w:fill="auto"/>
            <w:vAlign w:val="center"/>
          </w:tcPr>
          <w:p w:rsidR="00A53F86" w:rsidRPr="00AC7BF3" w:rsidRDefault="00A53F86" w:rsidP="005311FC">
            <w:pPr>
              <w:jc w:val="center"/>
              <w:rPr>
                <w:rFonts w:asciiTheme="minorHAnsi" w:hAnsiTheme="minorHAnsi" w:cs="Arial"/>
                <w:color w:val="000000"/>
                <w:lang w:val="en-US"/>
              </w:rPr>
            </w:pPr>
          </w:p>
        </w:tc>
        <w:tc>
          <w:tcPr>
            <w:tcW w:w="4819" w:type="dxa"/>
            <w:shd w:val="clear" w:color="auto" w:fill="auto"/>
            <w:vAlign w:val="center"/>
          </w:tcPr>
          <w:p w:rsidR="00A53F86" w:rsidRPr="00AC7BF3" w:rsidRDefault="00A53F86" w:rsidP="005311FC">
            <w:pPr>
              <w:rPr>
                <w:rFonts w:asciiTheme="minorHAnsi" w:hAnsiTheme="minorHAnsi" w:cs="Arial"/>
                <w:color w:val="000000"/>
                <w:lang w:val="en-US"/>
              </w:rPr>
            </w:pPr>
            <w:r w:rsidRPr="008501C7">
              <w:rPr>
                <w:rFonts w:asciiTheme="minorHAnsi" w:hAnsiTheme="minorHAnsi" w:cs="Arial"/>
                <w:color w:val="000000"/>
                <w:lang w:val="en-US"/>
              </w:rPr>
              <w:t>REGULATION on implementing Directive 2009/125/EC of the European Parliament and of the Council with regard to small, medium and large power transformers</w:t>
            </w:r>
          </w:p>
        </w:tc>
        <w:tc>
          <w:tcPr>
            <w:tcW w:w="1560" w:type="dxa"/>
            <w:shd w:val="clear" w:color="auto" w:fill="auto"/>
            <w:vAlign w:val="center"/>
          </w:tcPr>
          <w:p w:rsidR="00A53F86" w:rsidRDefault="00A53F86" w:rsidP="005311FC">
            <w:pPr>
              <w:jc w:val="center"/>
              <w:rPr>
                <w:rFonts w:asciiTheme="minorHAnsi" w:hAnsiTheme="minorHAnsi" w:cs="Arial"/>
                <w:color w:val="000000"/>
                <w:lang w:val="en-US"/>
              </w:rPr>
            </w:pPr>
            <w:r>
              <w:rPr>
                <w:rFonts w:asciiTheme="minorHAnsi" w:hAnsiTheme="minorHAnsi" w:cs="Arial"/>
                <w:color w:val="000000"/>
                <w:lang w:val="en-US"/>
              </w:rPr>
              <w:t>R 548/2014</w:t>
            </w:r>
          </w:p>
        </w:tc>
        <w:tc>
          <w:tcPr>
            <w:tcW w:w="1275" w:type="dxa"/>
            <w:vAlign w:val="center"/>
          </w:tcPr>
          <w:p w:rsidR="00A53F86" w:rsidRDefault="00A53F86" w:rsidP="005311FC">
            <w:pPr>
              <w:jc w:val="center"/>
              <w:rPr>
                <w:rFonts w:asciiTheme="minorHAnsi" w:hAnsiTheme="minorHAnsi" w:cs="Arial"/>
                <w:color w:val="000000"/>
                <w:lang w:val="en-US"/>
              </w:rPr>
            </w:pPr>
          </w:p>
        </w:tc>
        <w:tc>
          <w:tcPr>
            <w:tcW w:w="1701" w:type="dxa"/>
            <w:vAlign w:val="center"/>
          </w:tcPr>
          <w:p w:rsidR="00A53F86" w:rsidRDefault="00A53F86" w:rsidP="005311FC">
            <w:pPr>
              <w:jc w:val="center"/>
              <w:rPr>
                <w:rFonts w:asciiTheme="minorHAnsi" w:hAnsiTheme="minorHAnsi" w:cs="Arial"/>
                <w:color w:val="000000"/>
                <w:lang w:val="en-US"/>
              </w:rPr>
            </w:pP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FF0000"/>
            <w:vAlign w:val="center"/>
          </w:tcPr>
          <w:p w:rsidR="00A53F86" w:rsidRPr="00AC7BF3" w:rsidRDefault="006E2F4F" w:rsidP="005311FC">
            <w:pPr>
              <w:jc w:val="center"/>
              <w:rPr>
                <w:rFonts w:asciiTheme="minorHAnsi" w:hAnsiTheme="minorHAnsi" w:cs="Arial"/>
                <w:color w:val="000000"/>
                <w:lang w:val="en-US"/>
              </w:rPr>
            </w:pPr>
            <w:r>
              <w:rPr>
                <w:rFonts w:asciiTheme="minorHAnsi" w:hAnsiTheme="minorHAnsi" w:cs="Arial"/>
                <w:color w:val="000000"/>
                <w:lang w:val="en-US"/>
              </w:rPr>
              <w:t>ALTA</w:t>
            </w:r>
          </w:p>
        </w:tc>
        <w:tc>
          <w:tcPr>
            <w:tcW w:w="993" w:type="dxa"/>
            <w:vAlign w:val="center"/>
          </w:tcPr>
          <w:p w:rsidR="00A53F86" w:rsidRDefault="00A53F86" w:rsidP="005311FC">
            <w:pPr>
              <w:jc w:val="center"/>
              <w:rPr>
                <w:rFonts w:asciiTheme="minorHAnsi" w:hAnsiTheme="minorHAnsi" w:cs="Arial"/>
                <w:color w:val="000000"/>
                <w:lang w:val="en-US"/>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REVISIÓN</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F-GAS</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Reduction in fluorinated greenhouse gases regulation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n-US"/>
              </w:rPr>
              <w:t>R 517</w:t>
            </w:r>
            <w:r w:rsidRPr="00AC7BF3">
              <w:rPr>
                <w:rFonts w:asciiTheme="minorHAnsi" w:hAnsiTheme="minorHAnsi" w:cs="Arial"/>
                <w:color w:val="000000"/>
                <w:lang w:val="en-US"/>
              </w:rPr>
              <w:t>/20</w:t>
            </w:r>
            <w:r>
              <w:rPr>
                <w:rFonts w:asciiTheme="minorHAnsi" w:hAnsiTheme="minorHAnsi" w:cs="Arial"/>
                <w:color w:val="000000"/>
                <w:lang w:val="en-US"/>
              </w:rPr>
              <w:t>14</w:t>
            </w:r>
          </w:p>
        </w:tc>
        <w:tc>
          <w:tcPr>
            <w:tcW w:w="1275"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May-2014</w:t>
            </w:r>
          </w:p>
        </w:tc>
        <w:tc>
          <w:tcPr>
            <w:tcW w:w="1701"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Jan-2015 (application)</w:t>
            </w: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FF0000"/>
            <w:vAlign w:val="center"/>
          </w:tcPr>
          <w:p w:rsidR="00A53F86" w:rsidRPr="00AC7BF3" w:rsidRDefault="006E2F4F" w:rsidP="005311FC">
            <w:pPr>
              <w:jc w:val="center"/>
              <w:rPr>
                <w:rFonts w:asciiTheme="minorHAnsi" w:hAnsiTheme="minorHAnsi" w:cs="Arial"/>
                <w:color w:val="000000"/>
                <w:lang w:val="en-US"/>
              </w:rPr>
            </w:pPr>
            <w:r>
              <w:rPr>
                <w:rFonts w:asciiTheme="minorHAnsi" w:hAnsiTheme="minorHAnsi" w:cs="Arial"/>
                <w:color w:val="000000"/>
                <w:lang w:val="en-US"/>
              </w:rPr>
              <w:t>ALTA</w:t>
            </w:r>
          </w:p>
        </w:tc>
        <w:tc>
          <w:tcPr>
            <w:tcW w:w="993" w:type="dxa"/>
            <w:vAlign w:val="center"/>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192 (1)</w:t>
            </w: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REVISIÓN</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rPr>
              <w:t>NLF</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NLF - New Legislative Framework</w:t>
            </w:r>
          </w:p>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New Approach &amp; Market Surveillance (NAMS)</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r w:rsidRPr="00AC7BF3">
              <w:rPr>
                <w:rFonts w:asciiTheme="minorHAnsi" w:hAnsiTheme="minorHAnsi" w:cs="Arial"/>
                <w:color w:val="000000"/>
                <w:lang w:val="en-US"/>
              </w:rPr>
              <w:t>R 764/2008</w:t>
            </w:r>
          </w:p>
          <w:p w:rsidR="00A53F86" w:rsidRPr="00AC7BF3" w:rsidRDefault="00A53F86" w:rsidP="005311FC">
            <w:pPr>
              <w:jc w:val="center"/>
              <w:rPr>
                <w:rFonts w:asciiTheme="minorHAnsi" w:hAnsiTheme="minorHAnsi" w:cs="Arial"/>
                <w:color w:val="000000"/>
                <w:lang w:val="en-US"/>
              </w:rPr>
            </w:pPr>
            <w:r w:rsidRPr="00AC7BF3">
              <w:rPr>
                <w:rFonts w:asciiTheme="minorHAnsi" w:hAnsiTheme="minorHAnsi" w:cs="Arial"/>
                <w:color w:val="000000"/>
                <w:lang w:val="en-US"/>
              </w:rPr>
              <w:t>R 765/2008</w:t>
            </w:r>
          </w:p>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n-US"/>
              </w:rPr>
              <w:t>Decision 768/2008</w:t>
            </w: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Default="00A53F86" w:rsidP="005311FC">
            <w:pPr>
              <w:jc w:val="center"/>
              <w:rPr>
                <w:rFonts w:asciiTheme="minorHAnsi" w:hAnsiTheme="minorHAnsi" w:cs="Arial"/>
                <w:color w:val="000000"/>
                <w:lang w:val="en-US"/>
              </w:rPr>
            </w:pPr>
          </w:p>
        </w:tc>
        <w:tc>
          <w:tcPr>
            <w:tcW w:w="992" w:type="dxa"/>
            <w:shd w:val="clear" w:color="auto" w:fill="00B050"/>
            <w:vAlign w:val="center"/>
          </w:tcPr>
          <w:p w:rsidR="00A53F86" w:rsidRPr="00AC7BF3" w:rsidRDefault="006E2F4F" w:rsidP="005311FC">
            <w:pPr>
              <w:jc w:val="center"/>
              <w:rPr>
                <w:rFonts w:asciiTheme="minorHAnsi" w:hAnsiTheme="minorHAnsi" w:cs="Arial"/>
                <w:color w:val="000000"/>
                <w:lang w:val="en-US"/>
              </w:rPr>
            </w:pPr>
            <w:r>
              <w:rPr>
                <w:rFonts w:asciiTheme="minorHAnsi" w:hAnsiTheme="minorHAnsi" w:cs="Arial"/>
                <w:color w:val="000000"/>
                <w:lang w:val="en-US"/>
              </w:rPr>
              <w:t>BAJA</w:t>
            </w:r>
          </w:p>
        </w:tc>
        <w:tc>
          <w:tcPr>
            <w:tcW w:w="993" w:type="dxa"/>
            <w:vAlign w:val="center"/>
          </w:tcPr>
          <w:p w:rsidR="00A53F86" w:rsidRPr="00AC7BF3" w:rsidRDefault="00A53F86" w:rsidP="005311FC">
            <w:pPr>
              <w:jc w:val="center"/>
              <w:rPr>
                <w:rFonts w:asciiTheme="minorHAnsi" w:hAnsiTheme="minorHAnsi" w:cs="Arial"/>
                <w:color w:val="000000"/>
                <w:lang w:val="en-US"/>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REVISIÓN</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MID</w:t>
            </w:r>
          </w:p>
        </w:tc>
        <w:tc>
          <w:tcPr>
            <w:tcW w:w="4819" w:type="dxa"/>
            <w:shd w:val="clear" w:color="auto" w:fill="auto"/>
            <w:vAlign w:val="center"/>
            <w:hideMark/>
          </w:tcPr>
          <w:p w:rsidR="00A53F86" w:rsidRPr="00AC7BF3" w:rsidRDefault="00A53F86" w:rsidP="005311FC">
            <w:pPr>
              <w:rPr>
                <w:rFonts w:asciiTheme="minorHAnsi" w:hAnsiTheme="minorHAnsi" w:cs="Arial"/>
                <w:noProof/>
                <w:color w:val="000000"/>
                <w:lang w:val="en-US"/>
              </w:rPr>
            </w:pPr>
            <w:r w:rsidRPr="00AC7BF3">
              <w:rPr>
                <w:rFonts w:asciiTheme="minorHAnsi" w:hAnsiTheme="minorHAnsi" w:cs="Arial"/>
                <w:noProof/>
                <w:color w:val="000000"/>
                <w:lang w:val="en-US"/>
              </w:rPr>
              <w:t>Measuring Instruments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rPr>
            </w:pPr>
            <w:r w:rsidRPr="00AC7BF3">
              <w:rPr>
                <w:rFonts w:asciiTheme="minorHAnsi" w:hAnsiTheme="minorHAnsi" w:cs="Arial"/>
                <w:color w:val="000000"/>
              </w:rPr>
              <w:t>2004/22/EC</w:t>
            </w:r>
          </w:p>
        </w:tc>
        <w:tc>
          <w:tcPr>
            <w:tcW w:w="1275" w:type="dxa"/>
            <w:vAlign w:val="center"/>
          </w:tcPr>
          <w:p w:rsidR="00A53F86" w:rsidRPr="00AC7BF3" w:rsidRDefault="00A53F86" w:rsidP="005311FC">
            <w:pPr>
              <w:jc w:val="center"/>
              <w:rPr>
                <w:rFonts w:asciiTheme="minorHAnsi" w:hAnsiTheme="minorHAnsi" w:cs="Arial"/>
                <w:color w:val="000000"/>
              </w:rPr>
            </w:pPr>
          </w:p>
        </w:tc>
        <w:tc>
          <w:tcPr>
            <w:tcW w:w="1701" w:type="dxa"/>
            <w:vAlign w:val="center"/>
          </w:tcPr>
          <w:p w:rsidR="00A53F86" w:rsidRPr="00AC7BF3" w:rsidRDefault="00A53F86" w:rsidP="005311FC">
            <w:pPr>
              <w:jc w:val="center"/>
              <w:rPr>
                <w:rFonts w:asciiTheme="minorHAnsi" w:hAnsiTheme="minorHAnsi" w:cs="Arial"/>
                <w:color w:val="000000"/>
              </w:rPr>
            </w:pPr>
          </w:p>
        </w:tc>
        <w:tc>
          <w:tcPr>
            <w:tcW w:w="1276" w:type="dxa"/>
            <w:shd w:val="clear" w:color="auto" w:fill="auto"/>
          </w:tcPr>
          <w:p w:rsidR="00A53F86" w:rsidRPr="00AC7BF3" w:rsidRDefault="00A53F86" w:rsidP="005311FC">
            <w:pPr>
              <w:jc w:val="center"/>
              <w:rPr>
                <w:rFonts w:asciiTheme="minorHAnsi" w:hAnsiTheme="minorHAnsi" w:cs="Arial"/>
                <w:color w:val="000000"/>
              </w:rPr>
            </w:pPr>
          </w:p>
        </w:tc>
        <w:tc>
          <w:tcPr>
            <w:tcW w:w="992" w:type="dxa"/>
            <w:vAlign w:val="center"/>
          </w:tcPr>
          <w:p w:rsidR="00A53F86" w:rsidRPr="00AC7BF3" w:rsidRDefault="00A53F86" w:rsidP="005311FC">
            <w:pPr>
              <w:jc w:val="center"/>
              <w:rPr>
                <w:rFonts w:asciiTheme="minorHAnsi" w:hAnsiTheme="minorHAnsi" w:cs="Arial"/>
                <w:color w:val="000000"/>
              </w:rPr>
            </w:pPr>
          </w:p>
        </w:tc>
        <w:tc>
          <w:tcPr>
            <w:tcW w:w="993" w:type="dxa"/>
            <w:vAlign w:val="center"/>
          </w:tcPr>
          <w:p w:rsidR="00A53F86" w:rsidRPr="00AC7BF3" w:rsidRDefault="00A53F86" w:rsidP="005311FC">
            <w:pPr>
              <w:jc w:val="center"/>
              <w:rPr>
                <w:rFonts w:asciiTheme="minorHAnsi" w:hAnsiTheme="minorHAnsi" w:cs="Arial"/>
                <w:color w:val="000000"/>
              </w:rPr>
            </w:pPr>
          </w:p>
        </w:tc>
      </w:tr>
      <w:tr w:rsidR="00A53F86" w:rsidRPr="00AC7BF3" w:rsidTr="00A53F86">
        <w:trPr>
          <w:trHeight w:val="20"/>
        </w:trPr>
        <w:tc>
          <w:tcPr>
            <w:tcW w:w="1291" w:type="dxa"/>
            <w:shd w:val="clear" w:color="auto" w:fill="auto"/>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EN REVISIÓN</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GPSD</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General Product Safety Directive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color w:val="000000"/>
                <w:lang w:val="es-ES"/>
              </w:rPr>
              <w:t>2001/95/CE</w:t>
            </w:r>
          </w:p>
        </w:tc>
        <w:tc>
          <w:tcPr>
            <w:tcW w:w="1275" w:type="dxa"/>
            <w:vAlign w:val="center"/>
          </w:tcPr>
          <w:p w:rsidR="00A53F86" w:rsidRPr="00AC7BF3" w:rsidRDefault="00A53F86" w:rsidP="005311FC">
            <w:pPr>
              <w:jc w:val="center"/>
              <w:rPr>
                <w:rFonts w:asciiTheme="minorHAnsi" w:hAnsiTheme="minorHAnsi" w:cs="Arial"/>
                <w:color w:val="000000"/>
                <w:lang w:val="es-ES"/>
              </w:rPr>
            </w:pP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Default="00A53F86" w:rsidP="005311FC">
            <w:pPr>
              <w:jc w:val="center"/>
              <w:rPr>
                <w:rFonts w:asciiTheme="minorHAnsi" w:hAnsiTheme="minorHAnsi" w:cs="Arial"/>
                <w:color w:val="000000"/>
                <w:lang w:val="es-ES"/>
              </w:rPr>
            </w:pPr>
          </w:p>
        </w:tc>
        <w:tc>
          <w:tcPr>
            <w:tcW w:w="992" w:type="dxa"/>
            <w:shd w:val="clear" w:color="auto" w:fill="00B050"/>
            <w:vAlign w:val="center"/>
          </w:tcPr>
          <w:p w:rsidR="00A53F86" w:rsidRPr="00AC7BF3" w:rsidRDefault="00A53F86" w:rsidP="005311FC">
            <w:pPr>
              <w:jc w:val="center"/>
              <w:rPr>
                <w:rFonts w:asciiTheme="minorHAnsi" w:hAnsiTheme="minorHAnsi" w:cs="Arial"/>
                <w:color w:val="000000"/>
                <w:lang w:val="es-ES"/>
              </w:rPr>
            </w:pPr>
            <w:r>
              <w:rPr>
                <w:rFonts w:asciiTheme="minorHAnsi" w:hAnsiTheme="minorHAnsi" w:cs="Arial"/>
                <w:color w:val="000000"/>
                <w:lang w:val="es-ES"/>
              </w:rPr>
              <w:t>NA</w:t>
            </w: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r>
              <w:rPr>
                <w:rFonts w:asciiTheme="minorHAnsi" w:hAnsiTheme="minorHAnsi" w:cs="Arial"/>
                <w:color w:val="000000"/>
                <w:lang w:val="en-US"/>
              </w:rPr>
              <w:t>EN DESARROLLO</w:t>
            </w: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lang w:val="en-US"/>
              </w:rPr>
              <w:t>Proposal for a directive of the European Parliament and of the Council on the deployment of alternative fuels infrastructure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r w:rsidRPr="00AC7BF3">
              <w:rPr>
                <w:rFonts w:asciiTheme="minorHAnsi" w:hAnsiTheme="minorHAnsi" w:cs="Arial"/>
                <w:color w:val="000000"/>
                <w:lang w:val="en-US"/>
              </w:rPr>
              <w:t>2013/0012(COD)</w:t>
            </w:r>
          </w:p>
          <w:p w:rsidR="00A53F86" w:rsidRPr="00AC7BF3" w:rsidRDefault="00A53F86" w:rsidP="005311FC">
            <w:pPr>
              <w:jc w:val="center"/>
              <w:rPr>
                <w:rFonts w:asciiTheme="minorHAnsi" w:hAnsiTheme="minorHAnsi" w:cs="Arial"/>
                <w:color w:val="000000"/>
                <w:lang w:val="en-US"/>
              </w:rPr>
            </w:pPr>
            <w:r w:rsidRPr="00AC7BF3">
              <w:rPr>
                <w:rFonts w:asciiTheme="minorHAnsi" w:hAnsiTheme="minorHAnsi" w:cs="Arial"/>
                <w:color w:val="000000"/>
                <w:lang w:val="en-US"/>
              </w:rPr>
              <w:t>COM (2013) 18</w:t>
            </w: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Pr="00AC7BF3" w:rsidRDefault="00A53F86" w:rsidP="005311FC">
            <w:pPr>
              <w:jc w:val="center"/>
              <w:rPr>
                <w:rFonts w:asciiTheme="minorHAnsi" w:hAnsiTheme="minorHAnsi" w:cs="Arial"/>
                <w:color w:val="000000"/>
                <w:lang w:val="en-US"/>
              </w:rPr>
            </w:pPr>
          </w:p>
        </w:tc>
        <w:tc>
          <w:tcPr>
            <w:tcW w:w="992" w:type="dxa"/>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p>
        </w:tc>
      </w:tr>
      <w:tr w:rsidR="00A53F86" w:rsidRPr="00A4037C"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noProof/>
                <w:color w:val="000000"/>
                <w:lang w:val="es-ES"/>
              </w:rPr>
              <w:t>Compra pública verde y huella de carbono</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1275" w:type="dxa"/>
            <w:vAlign w:val="center"/>
          </w:tcPr>
          <w:p w:rsidR="00A53F86" w:rsidRPr="00AC7BF3" w:rsidRDefault="00A53F86" w:rsidP="005311FC">
            <w:pPr>
              <w:jc w:val="center"/>
              <w:rPr>
                <w:rFonts w:asciiTheme="minorHAnsi" w:hAnsiTheme="minorHAnsi" w:cs="Arial"/>
                <w:color w:val="000000"/>
                <w:lang w:val="es-ES"/>
              </w:rPr>
            </w:pP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color w:val="000000"/>
              </w:rPr>
              <w:t>Environmental footprint of products / Environmental footprint initiative</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Pr="00AC7BF3" w:rsidRDefault="00A53F86" w:rsidP="005311FC">
            <w:pPr>
              <w:jc w:val="center"/>
              <w:rPr>
                <w:rFonts w:asciiTheme="minorHAnsi" w:hAnsiTheme="minorHAnsi" w:cs="Arial"/>
                <w:color w:val="000000"/>
                <w:lang w:val="en-US"/>
              </w:rPr>
            </w:pPr>
          </w:p>
        </w:tc>
        <w:tc>
          <w:tcPr>
            <w:tcW w:w="992" w:type="dxa"/>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p>
        </w:tc>
      </w:tr>
      <w:tr w:rsidR="00A53F86" w:rsidRPr="00AC7BF3"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s-ES"/>
              </w:rPr>
            </w:pPr>
            <w:r w:rsidRPr="00AC7BF3">
              <w:rPr>
                <w:rFonts w:asciiTheme="minorHAnsi" w:hAnsiTheme="minorHAnsi" w:cs="Arial"/>
                <w:color w:val="000000"/>
                <w:lang w:val="es-ES"/>
              </w:rPr>
              <w:t>Ressource Efficiency</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1275" w:type="dxa"/>
            <w:vAlign w:val="center"/>
          </w:tcPr>
          <w:p w:rsidR="00A53F86" w:rsidRPr="00AC7BF3" w:rsidRDefault="00A53F86" w:rsidP="005311FC">
            <w:pPr>
              <w:jc w:val="center"/>
              <w:rPr>
                <w:rFonts w:asciiTheme="minorHAnsi" w:hAnsiTheme="minorHAnsi" w:cs="Arial"/>
                <w:color w:val="000000"/>
                <w:lang w:val="es-ES"/>
              </w:rPr>
            </w:pPr>
          </w:p>
        </w:tc>
        <w:tc>
          <w:tcPr>
            <w:tcW w:w="1701" w:type="dxa"/>
            <w:vAlign w:val="center"/>
          </w:tcPr>
          <w:p w:rsidR="00A53F86" w:rsidRPr="00AC7BF3" w:rsidRDefault="00A53F86" w:rsidP="005311FC">
            <w:pPr>
              <w:jc w:val="center"/>
              <w:rPr>
                <w:rFonts w:asciiTheme="minorHAnsi" w:hAnsiTheme="minorHAnsi" w:cs="Arial"/>
                <w:color w:val="000000"/>
                <w:lang w:val="es-ES"/>
              </w:rPr>
            </w:pPr>
          </w:p>
        </w:tc>
        <w:tc>
          <w:tcPr>
            <w:tcW w:w="1276" w:type="dxa"/>
            <w:shd w:val="clear" w:color="auto" w:fill="auto"/>
          </w:tcPr>
          <w:p w:rsidR="00A53F86" w:rsidRPr="00AC7BF3" w:rsidRDefault="00A53F86" w:rsidP="005311FC">
            <w:pPr>
              <w:jc w:val="center"/>
              <w:rPr>
                <w:rFonts w:asciiTheme="minorHAnsi" w:hAnsiTheme="minorHAnsi" w:cs="Arial"/>
                <w:color w:val="000000"/>
                <w:lang w:val="es-ES"/>
              </w:rPr>
            </w:pPr>
          </w:p>
        </w:tc>
        <w:tc>
          <w:tcPr>
            <w:tcW w:w="992" w:type="dxa"/>
            <w:vAlign w:val="center"/>
          </w:tcPr>
          <w:p w:rsidR="00A53F86" w:rsidRPr="00AC7BF3" w:rsidRDefault="00A53F86" w:rsidP="005311FC">
            <w:pPr>
              <w:jc w:val="center"/>
              <w:rPr>
                <w:rFonts w:asciiTheme="minorHAnsi" w:hAnsiTheme="minorHAnsi" w:cs="Arial"/>
                <w:color w:val="000000"/>
                <w:lang w:val="es-ES"/>
              </w:rPr>
            </w:pPr>
          </w:p>
        </w:tc>
        <w:tc>
          <w:tcPr>
            <w:tcW w:w="993" w:type="dxa"/>
            <w:vAlign w:val="center"/>
          </w:tcPr>
          <w:p w:rsidR="00A53F86" w:rsidRPr="00AC7BF3" w:rsidRDefault="00A53F86" w:rsidP="005311FC">
            <w:pPr>
              <w:jc w:val="center"/>
              <w:rPr>
                <w:rFonts w:asciiTheme="minorHAnsi" w:hAnsiTheme="minorHAnsi" w:cs="Arial"/>
                <w:color w:val="000000"/>
                <w:lang w:val="es-ES"/>
              </w:rPr>
            </w:pPr>
          </w:p>
        </w:tc>
      </w:tr>
      <w:tr w:rsidR="00A53F86" w:rsidRPr="00AC7BF3" w:rsidTr="00A53F86">
        <w:trPr>
          <w:trHeight w:val="20"/>
        </w:trPr>
        <w:tc>
          <w:tcPr>
            <w:tcW w:w="1291"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p>
        </w:tc>
        <w:tc>
          <w:tcPr>
            <w:tcW w:w="709" w:type="dxa"/>
            <w:shd w:val="clear" w:color="auto" w:fill="auto"/>
            <w:vAlign w:val="center"/>
            <w:hideMark/>
          </w:tcPr>
          <w:p w:rsidR="00A53F86" w:rsidRPr="00AC7BF3" w:rsidRDefault="00A53F86" w:rsidP="005311FC">
            <w:pPr>
              <w:jc w:val="center"/>
              <w:rPr>
                <w:rFonts w:asciiTheme="minorHAnsi" w:hAnsiTheme="minorHAnsi" w:cs="Arial"/>
                <w:color w:val="000000"/>
                <w:lang w:val="es-ES"/>
              </w:rPr>
            </w:pPr>
            <w:r w:rsidRPr="00AC7BF3">
              <w:rPr>
                <w:rFonts w:asciiTheme="minorHAnsi" w:hAnsiTheme="minorHAnsi" w:cs="Arial"/>
                <w:noProof/>
                <w:color w:val="000000"/>
                <w:lang w:val="en-US"/>
              </w:rPr>
              <w:t>SCP</w:t>
            </w:r>
          </w:p>
        </w:tc>
        <w:tc>
          <w:tcPr>
            <w:tcW w:w="4819" w:type="dxa"/>
            <w:shd w:val="clear" w:color="auto" w:fill="auto"/>
            <w:vAlign w:val="center"/>
            <w:hideMark/>
          </w:tcPr>
          <w:p w:rsidR="00A53F86" w:rsidRPr="00AC7BF3" w:rsidRDefault="00A53F86" w:rsidP="005311FC">
            <w:pPr>
              <w:rPr>
                <w:rFonts w:asciiTheme="minorHAnsi" w:hAnsiTheme="minorHAnsi" w:cs="Arial"/>
                <w:color w:val="000000"/>
                <w:lang w:val="en-US"/>
              </w:rPr>
            </w:pPr>
            <w:r w:rsidRPr="00AC7BF3">
              <w:rPr>
                <w:rFonts w:asciiTheme="minorHAnsi" w:hAnsiTheme="minorHAnsi" w:cs="Arial"/>
                <w:noProof/>
                <w:color w:val="000000"/>
                <w:lang w:val="en-US"/>
              </w:rPr>
              <w:t>SCP - Sustainable consumption and production Action Plan</w:t>
            </w:r>
          </w:p>
        </w:tc>
        <w:tc>
          <w:tcPr>
            <w:tcW w:w="1560" w:type="dxa"/>
            <w:shd w:val="clear" w:color="auto" w:fill="auto"/>
            <w:vAlign w:val="center"/>
            <w:hideMark/>
          </w:tcPr>
          <w:p w:rsidR="00A53F86" w:rsidRPr="00AC7BF3" w:rsidRDefault="00A53F86" w:rsidP="005311FC">
            <w:pPr>
              <w:jc w:val="center"/>
              <w:rPr>
                <w:rFonts w:asciiTheme="minorHAnsi" w:hAnsiTheme="minorHAnsi" w:cs="Arial"/>
                <w:color w:val="000000"/>
                <w:lang w:val="en-US"/>
              </w:rPr>
            </w:pPr>
          </w:p>
        </w:tc>
        <w:tc>
          <w:tcPr>
            <w:tcW w:w="1275" w:type="dxa"/>
            <w:vAlign w:val="center"/>
          </w:tcPr>
          <w:p w:rsidR="00A53F86" w:rsidRPr="00AC7BF3" w:rsidRDefault="00A53F86" w:rsidP="005311FC">
            <w:pPr>
              <w:jc w:val="center"/>
              <w:rPr>
                <w:rFonts w:asciiTheme="minorHAnsi" w:hAnsiTheme="minorHAnsi" w:cs="Arial"/>
                <w:color w:val="000000"/>
                <w:lang w:val="en-US"/>
              </w:rPr>
            </w:pPr>
          </w:p>
        </w:tc>
        <w:tc>
          <w:tcPr>
            <w:tcW w:w="1701" w:type="dxa"/>
            <w:vAlign w:val="center"/>
          </w:tcPr>
          <w:p w:rsidR="00A53F86" w:rsidRPr="00AC7BF3" w:rsidRDefault="00A53F86" w:rsidP="005311FC">
            <w:pPr>
              <w:jc w:val="center"/>
              <w:rPr>
                <w:rFonts w:asciiTheme="minorHAnsi" w:hAnsiTheme="minorHAnsi" w:cs="Arial"/>
                <w:color w:val="000000"/>
                <w:lang w:val="en-US"/>
              </w:rPr>
            </w:pPr>
          </w:p>
        </w:tc>
        <w:tc>
          <w:tcPr>
            <w:tcW w:w="1276" w:type="dxa"/>
            <w:shd w:val="clear" w:color="auto" w:fill="auto"/>
          </w:tcPr>
          <w:p w:rsidR="00A53F86" w:rsidRPr="00AC7BF3" w:rsidRDefault="00A53F86" w:rsidP="005311FC">
            <w:pPr>
              <w:jc w:val="center"/>
              <w:rPr>
                <w:rFonts w:asciiTheme="minorHAnsi" w:hAnsiTheme="minorHAnsi" w:cs="Arial"/>
                <w:color w:val="000000"/>
                <w:lang w:val="en-US"/>
              </w:rPr>
            </w:pPr>
          </w:p>
        </w:tc>
        <w:tc>
          <w:tcPr>
            <w:tcW w:w="992" w:type="dxa"/>
            <w:vAlign w:val="center"/>
          </w:tcPr>
          <w:p w:rsidR="00A53F86" w:rsidRPr="00AC7BF3" w:rsidRDefault="00A53F86" w:rsidP="005311FC">
            <w:pPr>
              <w:jc w:val="center"/>
              <w:rPr>
                <w:rFonts w:asciiTheme="minorHAnsi" w:hAnsiTheme="minorHAnsi" w:cs="Arial"/>
                <w:color w:val="000000"/>
                <w:lang w:val="en-US"/>
              </w:rPr>
            </w:pPr>
          </w:p>
        </w:tc>
        <w:tc>
          <w:tcPr>
            <w:tcW w:w="993" w:type="dxa"/>
            <w:vAlign w:val="center"/>
          </w:tcPr>
          <w:p w:rsidR="00A53F86" w:rsidRPr="00AC7BF3" w:rsidRDefault="00A53F86" w:rsidP="005311FC">
            <w:pPr>
              <w:jc w:val="center"/>
              <w:rPr>
                <w:rFonts w:asciiTheme="minorHAnsi" w:hAnsiTheme="minorHAnsi" w:cs="Arial"/>
                <w:color w:val="000000"/>
                <w:lang w:val="en-US"/>
              </w:rPr>
            </w:pPr>
          </w:p>
        </w:tc>
      </w:tr>
    </w:tbl>
    <w:p w:rsidR="00A53F86" w:rsidRPr="00A53F86" w:rsidRDefault="00A53F86" w:rsidP="00A53F86"/>
    <w:p w:rsidR="00BF522F" w:rsidRPr="00BF522F" w:rsidRDefault="003C22E4" w:rsidP="00BF522F">
      <w:pPr>
        <w:ind w:left="360"/>
        <w:jc w:val="both"/>
        <w:rPr>
          <w:i/>
          <w:color w:val="808080" w:themeColor="background1" w:themeShade="80"/>
          <w:lang w:val="es-ES"/>
        </w:rPr>
      </w:pPr>
      <w:r w:rsidRPr="006E2F4F">
        <w:rPr>
          <w:i/>
          <w:color w:val="808080" w:themeColor="background1" w:themeShade="80"/>
          <w:lang w:val="en-US"/>
        </w:rPr>
        <w:t xml:space="preserve"> </w:t>
      </w:r>
      <w:r>
        <w:rPr>
          <w:i/>
          <w:color w:val="808080" w:themeColor="background1" w:themeShade="80"/>
          <w:lang w:val="es-ES"/>
        </w:rPr>
        <w:t>(1</w:t>
      </w:r>
      <w:r w:rsidR="00BF522F">
        <w:rPr>
          <w:i/>
          <w:color w:val="808080" w:themeColor="background1" w:themeShade="80"/>
          <w:lang w:val="es-ES"/>
        </w:rPr>
        <w:t>)Trasposición de LVD a legislación española</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Real Decreto 7/1988, de 8 de enero, relativo a las exigencias de seguridad del material eléctrico destinado a ser utilizado en determinados límites de tensión B.O.E. Nº 12 publicado el 14/1/88.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lastRenderedPageBreak/>
        <w:t xml:space="preserve">Orden de 6 de junio de 1989, por la que se desarrolla y complementa el Real Decreto 7/1988, de 8 de enero, relativo a las Exigencias de Seguridad del Material Eléctrico, destinado a ser utilizado en determinados límites de tensión B.O.E. Nº 147 publicado el 21/6/89.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Real Decreto 1505/1990, de 23 de noviembre, por el que se derogan diferentes disposiciones incluidas en el ámbito del Real Decreto 7/1988 B.O.E. Nº 285 publicado el 28/11/90.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Real Decreto 560/1993, de 16 de abril, por el que se derogan diferentes disposiciones vigentes en materia de normalización y homologación B.O.E. Nº 98 publicado el 24/4/93.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Real Decreto 154/1995, de 3 de febrero, por el que se modifica el Real Decreto 7/1988, de 8 de enero, por el que se regula las exigencias de seguridad del material eléctrico destinado a ser utilizado en determinados limites de tensión B.O.E. Nº 53 publicado el 03/3/95. Corrección de errores: BOE Nº 69 de 22/3/95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Resolución de 24 de octubre de 1995, de la Dirección General de Calidad y Seguridad Industrial, por la que se actualiza el anexo I de la Orden del Ministerio de Industria y Energía de 6 de junio de 1989 B.O.E. Nº 275 publicado el 17/11/95.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Resolución de 20 de marzo de 1996, de la Dirección General de Seguridad Industrial del Departamento de Industria y Energía, por la que se autoriza al Laboratorio General de Ensayos e Investigaciones, como organismo de control notificado a la UE referente a los ensayos de aparatos a gas B.O.E. Nº 103 publicado el 29/4/96.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Real Decreto 1890/2000, de 20 de noviembre, por el que se aprueba el Reglamento que establece el procedimiento para la evaluación de la conformidad de los aparatos de telecomunicaciones B.O.E. Nº 289 publicado el 02/12/00.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Resolución de 19 de noviembre de 2001, de la Dirección General de Política Tecnológica, por la que se hacen públicas las normas armonizadas que satisfacen las exigencias de seguridad del material eléctrico destinado a ser utilizado en determinados límites de tensión. B.O.E. Nº 296 publicado el 11/12/01.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Resolución de 14 de octubre de 2002, de la Dirección General de Política Tecnológica, por la que se hacen públicas las normas armonizadas que satisfacen las exigencias de seguridad del material eléctrico destinado a ser utilizado en determinados limites de tensión B.O.E. Nº 265 publicado el 05/11/02. </w:t>
      </w:r>
    </w:p>
    <w:p w:rsidR="00BF522F" w:rsidRPr="00BF522F" w:rsidRDefault="00BF522F" w:rsidP="00411495">
      <w:pPr>
        <w:pStyle w:val="Prrafodelista"/>
        <w:numPr>
          <w:ilvl w:val="0"/>
          <w:numId w:val="24"/>
        </w:numPr>
        <w:jc w:val="both"/>
        <w:rPr>
          <w:i/>
          <w:color w:val="808080" w:themeColor="background1" w:themeShade="80"/>
          <w:sz w:val="16"/>
          <w:lang w:val="es-ES"/>
        </w:rPr>
      </w:pPr>
      <w:r w:rsidRPr="00BF522F">
        <w:rPr>
          <w:i/>
          <w:color w:val="808080" w:themeColor="background1" w:themeShade="80"/>
          <w:sz w:val="16"/>
          <w:lang w:val="es-ES"/>
        </w:rPr>
        <w:t xml:space="preserve">Resolución de 11 de mayo de 2005, de la Dirección General de Desarrollo Industrial, por la que se acuerda la publicación de la relación de aprobaciones europeas de materiales en el ámbito del Real Decreto 769/1999, de 7 de mayo, por el que se dictan las disposiciones de aplicación de la Directiva 97/23/CE B.O.E. Nº 131 publicado el 02/6/05. </w:t>
      </w:r>
    </w:p>
    <w:p w:rsidR="00BF522F" w:rsidRPr="00BF522F" w:rsidRDefault="00BF522F" w:rsidP="00411495">
      <w:pPr>
        <w:pStyle w:val="Prrafodelista"/>
        <w:numPr>
          <w:ilvl w:val="0"/>
          <w:numId w:val="24"/>
        </w:numPr>
        <w:jc w:val="both"/>
        <w:rPr>
          <w:i/>
          <w:color w:val="808080" w:themeColor="background1" w:themeShade="80"/>
          <w:lang w:val="es-ES"/>
        </w:rPr>
      </w:pPr>
      <w:r w:rsidRPr="00BF522F">
        <w:rPr>
          <w:i/>
          <w:color w:val="808080" w:themeColor="background1" w:themeShade="80"/>
          <w:sz w:val="16"/>
          <w:lang w:val="es-ES"/>
        </w:rPr>
        <w:t>Resolución de 7 de octubre de 2005, de la Dirección General de Desarrollo Industrial, por la que se actualiza el anexo I de la Resolución de 14 de octubre de 2002, de la Dirección General de Política Tecnológica, por la que se publican las normas armonizadas y se incluyen las normas nacionales que satisfacen las exigencias de seguridad del material eléctrico destinado a ser utilizado en determinados límites de tensión. B.O.E. Nº 269 publicado el 10/11/05.</w:t>
      </w:r>
    </w:p>
    <w:p w:rsidR="00CC019C" w:rsidRPr="00545E71" w:rsidRDefault="00CC019C" w:rsidP="00BF522F">
      <w:pPr>
        <w:rPr>
          <w:lang w:val="es-ES"/>
        </w:rPr>
      </w:pPr>
    </w:p>
    <w:p w:rsidR="00CC019C" w:rsidRPr="00545E71" w:rsidRDefault="00CC019C" w:rsidP="00CC019C">
      <w:pPr>
        <w:rPr>
          <w:lang w:val="es-ES"/>
        </w:rPr>
      </w:pPr>
    </w:p>
    <w:p w:rsidR="00402828" w:rsidRPr="00402828" w:rsidRDefault="00402828" w:rsidP="00402828">
      <w:pPr>
        <w:rPr>
          <w:lang w:val="es-ES"/>
        </w:rPr>
        <w:sectPr w:rsidR="00402828" w:rsidRPr="00402828" w:rsidSect="00402828">
          <w:pgSz w:w="16840" w:h="11907" w:orient="landscape" w:code="9"/>
          <w:pgMar w:top="1134" w:right="1134" w:bottom="1134" w:left="1134" w:header="567" w:footer="567" w:gutter="0"/>
          <w:pgNumType w:start="1"/>
          <w:cols w:space="720"/>
          <w:docGrid w:linePitch="360"/>
        </w:sectPr>
      </w:pPr>
    </w:p>
    <w:p w:rsidR="00B2606D" w:rsidRPr="00D465DB" w:rsidRDefault="00B2606D" w:rsidP="00D465DB">
      <w:pPr>
        <w:pStyle w:val="Ttulo1"/>
        <w:tabs>
          <w:tab w:val="clear" w:pos="360"/>
          <w:tab w:val="num" w:pos="432"/>
        </w:tabs>
        <w:spacing w:after="360" w:line="240" w:lineRule="atLeast"/>
        <w:ind w:left="432" w:hanging="432"/>
        <w:jc w:val="both"/>
        <w:rPr>
          <w:lang w:val="es-ES"/>
        </w:rPr>
      </w:pPr>
      <w:bookmarkStart w:id="65" w:name="_Toc404614884"/>
      <w:r w:rsidRPr="00D465DB">
        <w:rPr>
          <w:lang w:val="es-ES"/>
        </w:rPr>
        <w:lastRenderedPageBreak/>
        <w:t>Enlaces de interés</w:t>
      </w:r>
      <w:bookmarkEnd w:id="65"/>
    </w:p>
    <w:p w:rsidR="00B2606D" w:rsidRPr="00B2606D" w:rsidRDefault="00B2606D" w:rsidP="00411495">
      <w:pPr>
        <w:numPr>
          <w:ilvl w:val="0"/>
          <w:numId w:val="12"/>
        </w:numPr>
        <w:tabs>
          <w:tab w:val="clear" w:pos="360"/>
        </w:tabs>
        <w:spacing w:after="120"/>
        <w:ind w:left="714" w:hanging="357"/>
        <w:jc w:val="both"/>
        <w:rPr>
          <w:lang w:val="es-ES"/>
        </w:rPr>
      </w:pPr>
      <w:r w:rsidRPr="00B2606D">
        <w:rPr>
          <w:lang w:val="es-ES"/>
        </w:rPr>
        <w:t>Búsquedas de documentos oficiales europeos:</w:t>
      </w:r>
    </w:p>
    <w:p w:rsidR="00B2606D" w:rsidRPr="00B2606D" w:rsidRDefault="00B2606D" w:rsidP="00411495">
      <w:pPr>
        <w:numPr>
          <w:ilvl w:val="0"/>
          <w:numId w:val="12"/>
        </w:numPr>
        <w:tabs>
          <w:tab w:val="clear" w:pos="360"/>
        </w:tabs>
        <w:spacing w:after="120"/>
        <w:ind w:left="1065" w:hanging="357"/>
        <w:jc w:val="both"/>
        <w:rPr>
          <w:lang w:val="es-ES"/>
        </w:rPr>
      </w:pPr>
      <w:r w:rsidRPr="00B2606D">
        <w:rPr>
          <w:lang w:val="es-ES"/>
        </w:rPr>
        <w:t>Para ver los elementos legislativos que están en proceso de elaboración.</w:t>
      </w:r>
    </w:p>
    <w:p w:rsidR="00B2606D" w:rsidRPr="00B2606D" w:rsidRDefault="00F5022D" w:rsidP="00411495">
      <w:pPr>
        <w:numPr>
          <w:ilvl w:val="0"/>
          <w:numId w:val="12"/>
        </w:numPr>
        <w:tabs>
          <w:tab w:val="clear" w:pos="360"/>
        </w:tabs>
        <w:spacing w:after="120"/>
        <w:ind w:left="1422" w:hanging="357"/>
        <w:jc w:val="both"/>
        <w:rPr>
          <w:lang w:val="es-ES"/>
        </w:rPr>
      </w:pPr>
      <w:hyperlink r:id="rId34" w:history="1">
        <w:r w:rsidR="00B2606D" w:rsidRPr="00B2606D">
          <w:rPr>
            <w:rStyle w:val="Hipervnculo"/>
            <w:lang w:val="es-ES"/>
          </w:rPr>
          <w:t>http://ec.europa.eu/prelex/apcnet.cfm?CL=es</w:t>
        </w:r>
      </w:hyperlink>
    </w:p>
    <w:p w:rsidR="00B2606D" w:rsidRPr="00B2606D" w:rsidRDefault="00B2606D" w:rsidP="00411495">
      <w:pPr>
        <w:numPr>
          <w:ilvl w:val="0"/>
          <w:numId w:val="12"/>
        </w:numPr>
        <w:tabs>
          <w:tab w:val="clear" w:pos="360"/>
        </w:tabs>
        <w:spacing w:after="120"/>
        <w:ind w:left="1065" w:hanging="357"/>
        <w:jc w:val="both"/>
        <w:rPr>
          <w:lang w:val="es-ES"/>
        </w:rPr>
      </w:pPr>
      <w:r w:rsidRPr="00B2606D">
        <w:rPr>
          <w:lang w:val="es-ES"/>
        </w:rPr>
        <w:t>Para ver la legislación ya aprobada:</w:t>
      </w:r>
    </w:p>
    <w:p w:rsidR="00B2606D" w:rsidRPr="00B2606D" w:rsidRDefault="00F5022D" w:rsidP="00411495">
      <w:pPr>
        <w:numPr>
          <w:ilvl w:val="0"/>
          <w:numId w:val="12"/>
        </w:numPr>
        <w:tabs>
          <w:tab w:val="clear" w:pos="360"/>
        </w:tabs>
        <w:spacing w:after="120"/>
        <w:ind w:left="1422" w:hanging="357"/>
        <w:jc w:val="both"/>
        <w:rPr>
          <w:lang w:val="es-ES"/>
        </w:rPr>
      </w:pPr>
      <w:hyperlink r:id="rId35" w:history="1">
        <w:r w:rsidR="00B2606D" w:rsidRPr="00B2606D">
          <w:rPr>
            <w:rStyle w:val="Hipervnculo"/>
            <w:lang w:val="es-ES"/>
          </w:rPr>
          <w:t>http://eur-lex.europa.eu/es/index.htm</w:t>
        </w:r>
      </w:hyperlink>
    </w:p>
    <w:p w:rsidR="00B2606D" w:rsidRPr="00B2606D" w:rsidRDefault="00B2606D" w:rsidP="00411495">
      <w:pPr>
        <w:numPr>
          <w:ilvl w:val="0"/>
          <w:numId w:val="12"/>
        </w:numPr>
        <w:tabs>
          <w:tab w:val="clear" w:pos="360"/>
        </w:tabs>
        <w:spacing w:after="120"/>
        <w:ind w:left="714" w:hanging="357"/>
        <w:jc w:val="both"/>
        <w:rPr>
          <w:lang w:val="es-ES"/>
        </w:rPr>
      </w:pPr>
      <w:r w:rsidRPr="00B2606D">
        <w:rPr>
          <w:lang w:val="es-ES"/>
        </w:rPr>
        <w:t>Búsquedas de la legislación española derivada de las directivas (bajo la responsabilidad del Ministerio de industria, turismo y comercio)</w:t>
      </w:r>
    </w:p>
    <w:p w:rsidR="00B2606D" w:rsidRPr="00B2606D" w:rsidRDefault="00F5022D" w:rsidP="00411495">
      <w:pPr>
        <w:numPr>
          <w:ilvl w:val="0"/>
          <w:numId w:val="12"/>
        </w:numPr>
        <w:tabs>
          <w:tab w:val="clear" w:pos="360"/>
        </w:tabs>
        <w:spacing w:after="120"/>
        <w:ind w:left="1065" w:hanging="357"/>
        <w:jc w:val="both"/>
        <w:rPr>
          <w:lang w:val="es-ES"/>
        </w:rPr>
      </w:pPr>
      <w:hyperlink r:id="rId36" w:history="1">
        <w:r w:rsidR="00B2606D" w:rsidRPr="00B2606D">
          <w:rPr>
            <w:rStyle w:val="Hipervnculo"/>
            <w:lang w:val="es-ES"/>
          </w:rPr>
          <w:t>http://www.f2i2.net/legislacionseguridadindustrial/LegislacionComunitaria.aspx</w:t>
        </w:r>
      </w:hyperlink>
    </w:p>
    <w:sectPr w:rsidR="00B2606D" w:rsidRPr="00B2606D" w:rsidSect="00891E4F">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2D" w:rsidRDefault="00F5022D">
      <w:r>
        <w:separator/>
      </w:r>
    </w:p>
  </w:endnote>
  <w:endnote w:type="continuationSeparator" w:id="0">
    <w:p w:rsidR="00F5022D" w:rsidRDefault="00F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C" w:rsidRDefault="00A403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99"/>
    </w:tblGrid>
    <w:tr w:rsidR="00A4037C" w:rsidRPr="00513A31" w:rsidTr="00964588">
      <w:tc>
        <w:tcPr>
          <w:tcW w:w="6912" w:type="dxa"/>
          <w:vAlign w:val="center"/>
        </w:tcPr>
        <w:p w:rsidR="00A4037C" w:rsidRDefault="00A4037C" w:rsidP="00513A31">
          <w:pPr>
            <w:rPr>
              <w:rStyle w:val="Nmerodepgina"/>
              <w:sz w:val="16"/>
              <w:szCs w:val="16"/>
              <w:lang w:val="es-ES"/>
            </w:rPr>
          </w:pPr>
          <w:r>
            <w:rPr>
              <w:rStyle w:val="Nmerodepgina"/>
              <w:sz w:val="16"/>
              <w:szCs w:val="16"/>
              <w:lang w:val="es-ES"/>
            </w:rPr>
            <w:t>Copyright © AFBEL, 2013</w:t>
          </w:r>
        </w:p>
        <w:p w:rsidR="00A4037C" w:rsidRPr="00513A31" w:rsidRDefault="00A4037C" w:rsidP="00513A31">
          <w:pPr>
            <w:rPr>
              <w:rStyle w:val="Nmerodepgina"/>
              <w:sz w:val="16"/>
              <w:szCs w:val="16"/>
              <w:lang w:val="es-ES"/>
            </w:rPr>
          </w:pPr>
          <w:r w:rsidRPr="00513A31">
            <w:rPr>
              <w:rStyle w:val="Nmerodepgina"/>
              <w:sz w:val="16"/>
              <w:szCs w:val="16"/>
              <w:lang w:val="es-ES"/>
            </w:rPr>
            <w:t>Reproducción no autorizada sin el consentimiento previo por escrito de AFBEL</w:t>
          </w:r>
        </w:p>
      </w:tc>
      <w:tc>
        <w:tcPr>
          <w:tcW w:w="2299" w:type="dxa"/>
          <w:vAlign w:val="center"/>
        </w:tcPr>
        <w:p w:rsidR="00A4037C" w:rsidRPr="00513A31" w:rsidRDefault="00A4037C" w:rsidP="00513A31">
          <w:pPr>
            <w:ind w:firstLine="7"/>
            <w:jc w:val="right"/>
            <w:rPr>
              <w:rStyle w:val="Nmerodepgina"/>
            </w:rPr>
          </w:pPr>
          <w:r w:rsidRPr="00401946">
            <w:rPr>
              <w:rStyle w:val="Nmerodepgina"/>
            </w:rPr>
            <w:fldChar w:fldCharType="begin"/>
          </w:r>
          <w:r w:rsidRPr="00401946">
            <w:rPr>
              <w:rStyle w:val="Nmerodepgina"/>
            </w:rPr>
            <w:instrText xml:space="preserve"> PAGE </w:instrText>
          </w:r>
          <w:r w:rsidRPr="00401946">
            <w:rPr>
              <w:rStyle w:val="Nmerodepgina"/>
            </w:rPr>
            <w:fldChar w:fldCharType="separate"/>
          </w:r>
          <w:r w:rsidR="000257D5">
            <w:rPr>
              <w:rStyle w:val="Nmerodepgina"/>
              <w:noProof/>
            </w:rPr>
            <w:t>1</w:t>
          </w:r>
          <w:r w:rsidRPr="00401946">
            <w:rPr>
              <w:rStyle w:val="Nmerodepgina"/>
            </w:rPr>
            <w:fldChar w:fldCharType="end"/>
          </w:r>
          <w:r w:rsidRPr="00401946">
            <w:t xml:space="preserve"> /</w:t>
          </w:r>
          <w:r w:rsidRPr="00401946">
            <w:rPr>
              <w:rStyle w:val="Nmerodepgina"/>
            </w:rPr>
            <w:t xml:space="preserve"> </w:t>
          </w:r>
          <w:r w:rsidRPr="00401946">
            <w:rPr>
              <w:rStyle w:val="Nmerodepgina"/>
            </w:rPr>
            <w:fldChar w:fldCharType="begin"/>
          </w:r>
          <w:r w:rsidRPr="00401946">
            <w:rPr>
              <w:rStyle w:val="Nmerodepgina"/>
            </w:rPr>
            <w:instrText xml:space="preserve"> NUMPAGES </w:instrText>
          </w:r>
          <w:r w:rsidRPr="00401946">
            <w:rPr>
              <w:rStyle w:val="Nmerodepgina"/>
            </w:rPr>
            <w:fldChar w:fldCharType="separate"/>
          </w:r>
          <w:r w:rsidR="000257D5">
            <w:rPr>
              <w:rStyle w:val="Nmerodepgina"/>
              <w:noProof/>
            </w:rPr>
            <w:t>28</w:t>
          </w:r>
          <w:r w:rsidRPr="00401946">
            <w:rPr>
              <w:rStyle w:val="Nmerodepgina"/>
            </w:rPr>
            <w:fldChar w:fldCharType="end"/>
          </w:r>
        </w:p>
      </w:tc>
    </w:tr>
  </w:tbl>
  <w:p w:rsidR="00A4037C" w:rsidRPr="00A844C7" w:rsidRDefault="00A4037C" w:rsidP="00513A31">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2D" w:rsidRDefault="00F5022D">
      <w:r>
        <w:separator/>
      </w:r>
    </w:p>
  </w:footnote>
  <w:footnote w:type="continuationSeparator" w:id="0">
    <w:p w:rsidR="00F5022D" w:rsidRDefault="00F5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5315"/>
      <w:gridCol w:w="4394"/>
    </w:tblGrid>
    <w:tr w:rsidR="00A4037C" w:rsidRPr="00A4037C">
      <w:tc>
        <w:tcPr>
          <w:tcW w:w="5315" w:type="dxa"/>
        </w:tcPr>
        <w:p w:rsidR="00A4037C" w:rsidRDefault="00A4037C">
          <w:pPr>
            <w:pStyle w:val="Encabezado"/>
            <w:rPr>
              <w:sz w:val="16"/>
            </w:rPr>
          </w:pPr>
        </w:p>
      </w:tc>
      <w:tc>
        <w:tcPr>
          <w:tcW w:w="4394" w:type="dxa"/>
        </w:tcPr>
        <w:p w:rsidR="00A4037C" w:rsidRPr="006F4627" w:rsidRDefault="00A4037C" w:rsidP="00B165F3">
          <w:pPr>
            <w:pStyle w:val="Encabezado"/>
            <w:tabs>
              <w:tab w:val="clear" w:pos="4252"/>
              <w:tab w:val="clear" w:pos="8504"/>
              <w:tab w:val="left" w:pos="2760"/>
            </w:tabs>
            <w:jc w:val="right"/>
            <w:rPr>
              <w:b/>
              <w:lang w:val="es-ES"/>
            </w:rPr>
          </w:pPr>
          <w:r>
            <w:rPr>
              <w:b/>
              <w:lang w:val="es-ES"/>
            </w:rPr>
            <w:t>Grupo</w:t>
          </w:r>
          <w:r w:rsidRPr="006F4627">
            <w:rPr>
              <w:b/>
              <w:lang w:val="es-ES"/>
            </w:rPr>
            <w:t xml:space="preserve"> de Directivas de AFBEL</w:t>
          </w:r>
        </w:p>
        <w:p w:rsidR="00A4037C" w:rsidRPr="006F4627" w:rsidRDefault="00A4037C" w:rsidP="00BF6678">
          <w:pPr>
            <w:pStyle w:val="Encabezado"/>
            <w:jc w:val="right"/>
            <w:rPr>
              <w:b/>
              <w:i/>
              <w:sz w:val="16"/>
              <w:lang w:val="es-ES"/>
            </w:rPr>
          </w:pPr>
          <w:r>
            <w:rPr>
              <w:sz w:val="16"/>
              <w:lang w:val="es-ES"/>
            </w:rPr>
            <w:t>Estado de las directivas (Noviembre de 2014)</w:t>
          </w:r>
        </w:p>
      </w:tc>
    </w:tr>
  </w:tbl>
  <w:p w:rsidR="00A4037C" w:rsidRPr="006F4627" w:rsidRDefault="00A4037C">
    <w:pPr>
      <w:rPr>
        <w:sz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C" w:rsidRDefault="00A403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486"/>
    <w:multiLevelType w:val="hybridMultilevel"/>
    <w:tmpl w:val="6B901348"/>
    <w:lvl w:ilvl="0" w:tplc="A628D332">
      <w:start w:val="1"/>
      <w:numFmt w:val="bullet"/>
      <w:lvlText w:val=""/>
      <w:lvlJc w:val="left"/>
      <w:pPr>
        <w:ind w:left="720" w:hanging="360"/>
      </w:pPr>
      <w:rPr>
        <w:rFonts w:ascii="Symbol" w:hAnsi="Symbol" w:hint="default"/>
        <w:lang w:val="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A605D"/>
    <w:multiLevelType w:val="hybridMultilevel"/>
    <w:tmpl w:val="3B26AA6E"/>
    <w:lvl w:ilvl="0" w:tplc="0C0A0001">
      <w:start w:val="1"/>
      <w:numFmt w:val="bullet"/>
      <w:lvlText w:val=""/>
      <w:lvlJc w:val="left"/>
      <w:pPr>
        <w:ind w:left="1410" w:hanging="705"/>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A3C4FC6"/>
    <w:multiLevelType w:val="hybridMultilevel"/>
    <w:tmpl w:val="D644A4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694078"/>
    <w:multiLevelType w:val="hybridMultilevel"/>
    <w:tmpl w:val="5770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72396"/>
    <w:multiLevelType w:val="hybridMultilevel"/>
    <w:tmpl w:val="77B6FF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F82297"/>
    <w:multiLevelType w:val="hybridMultilevel"/>
    <w:tmpl w:val="4D901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76000E"/>
    <w:multiLevelType w:val="hybridMultilevel"/>
    <w:tmpl w:val="854AF2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5F360E"/>
    <w:multiLevelType w:val="hybridMultilevel"/>
    <w:tmpl w:val="D0D64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9447E5"/>
    <w:multiLevelType w:val="hybridMultilevel"/>
    <w:tmpl w:val="98DE15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B37B7"/>
    <w:multiLevelType w:val="hybridMultilevel"/>
    <w:tmpl w:val="55DE8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CC7BA8"/>
    <w:multiLevelType w:val="hybridMultilevel"/>
    <w:tmpl w:val="79FC1A48"/>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986A8270">
      <w:numFmt w:val="bullet"/>
      <w:lvlText w:val="•"/>
      <w:lvlJc w:val="left"/>
      <w:pPr>
        <w:ind w:left="2854" w:hanging="705"/>
      </w:pPr>
      <w:rPr>
        <w:rFonts w:ascii="Arial" w:eastAsia="Times New Roman" w:hAnsi="Arial" w:cs="Arial" w:hint="default"/>
      </w:rPr>
    </w:lvl>
    <w:lvl w:ilvl="3" w:tplc="9DE61280">
      <w:numFmt w:val="bullet"/>
      <w:lvlText w:val="–"/>
      <w:lvlJc w:val="left"/>
      <w:pPr>
        <w:ind w:left="3229" w:hanging="360"/>
      </w:pPr>
      <w:rPr>
        <w:rFonts w:ascii="Arial" w:eastAsia="Times New Roman" w:hAnsi="Arial" w:cs="Aria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E710472"/>
    <w:multiLevelType w:val="hybridMultilevel"/>
    <w:tmpl w:val="8FA634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92125F"/>
    <w:multiLevelType w:val="hybridMultilevel"/>
    <w:tmpl w:val="E57EBB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750E9F"/>
    <w:multiLevelType w:val="hybridMultilevel"/>
    <w:tmpl w:val="792036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875C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B43969"/>
    <w:multiLevelType w:val="hybridMultilevel"/>
    <w:tmpl w:val="58AC3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EB0F5E"/>
    <w:multiLevelType w:val="hybridMultilevel"/>
    <w:tmpl w:val="7BC007CE"/>
    <w:lvl w:ilvl="0" w:tplc="032CF61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29107964"/>
    <w:multiLevelType w:val="hybridMultilevel"/>
    <w:tmpl w:val="65D056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AF4A60"/>
    <w:multiLevelType w:val="hybridMultilevel"/>
    <w:tmpl w:val="AD9E1E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36720E"/>
    <w:multiLevelType w:val="hybridMultilevel"/>
    <w:tmpl w:val="9254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1E1C6F"/>
    <w:multiLevelType w:val="hybridMultilevel"/>
    <w:tmpl w:val="0D10A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8218F6"/>
    <w:multiLevelType w:val="hybridMultilevel"/>
    <w:tmpl w:val="C10EE870"/>
    <w:lvl w:ilvl="0" w:tplc="0C0A0001">
      <w:start w:val="1"/>
      <w:numFmt w:val="bullet"/>
      <w:lvlText w:val=""/>
      <w:lvlJc w:val="left"/>
      <w:pPr>
        <w:ind w:left="720" w:hanging="360"/>
      </w:pPr>
      <w:rPr>
        <w:rFonts w:ascii="Symbol" w:hAnsi="Symbol" w:hint="default"/>
      </w:rPr>
    </w:lvl>
    <w:lvl w:ilvl="1" w:tplc="178823D6">
      <w:start w:val="19"/>
      <w:numFmt w:val="bullet"/>
      <w:lvlText w:val="•"/>
      <w:lvlJc w:val="left"/>
      <w:pPr>
        <w:ind w:left="1785" w:hanging="705"/>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617DDB"/>
    <w:multiLevelType w:val="hybridMultilevel"/>
    <w:tmpl w:val="41604CD0"/>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3" w15:restartNumberingAfterBreak="0">
    <w:nsid w:val="31362654"/>
    <w:multiLevelType w:val="hybridMultilevel"/>
    <w:tmpl w:val="4D8C67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925025"/>
    <w:multiLevelType w:val="hybridMultilevel"/>
    <w:tmpl w:val="CBE6EB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7046012"/>
    <w:multiLevelType w:val="hybridMultilevel"/>
    <w:tmpl w:val="9E827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CB956FB"/>
    <w:multiLevelType w:val="hybridMultilevel"/>
    <w:tmpl w:val="244C05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E0756DA"/>
    <w:multiLevelType w:val="hybridMultilevel"/>
    <w:tmpl w:val="92F665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0F3888"/>
    <w:multiLevelType w:val="hybridMultilevel"/>
    <w:tmpl w:val="E94CA4AE"/>
    <w:lvl w:ilvl="0" w:tplc="0C0A0001">
      <w:start w:val="1"/>
      <w:numFmt w:val="bullet"/>
      <w:lvlText w:val=""/>
      <w:lvlJc w:val="left"/>
      <w:pPr>
        <w:ind w:left="720" w:hanging="360"/>
      </w:pPr>
      <w:rPr>
        <w:rFonts w:ascii="Symbol" w:hAnsi="Symbol" w:hint="default"/>
      </w:rPr>
    </w:lvl>
    <w:lvl w:ilvl="1" w:tplc="1A1E6E46">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625561"/>
    <w:multiLevelType w:val="hybridMultilevel"/>
    <w:tmpl w:val="5AB2F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636F5A"/>
    <w:multiLevelType w:val="hybridMultilevel"/>
    <w:tmpl w:val="408C89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275DAF"/>
    <w:multiLevelType w:val="hybridMultilevel"/>
    <w:tmpl w:val="B88C75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7A4223"/>
    <w:multiLevelType w:val="hybridMultilevel"/>
    <w:tmpl w:val="EE9212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02785A"/>
    <w:multiLevelType w:val="hybridMultilevel"/>
    <w:tmpl w:val="BD98E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303106"/>
    <w:multiLevelType w:val="hybridMultilevel"/>
    <w:tmpl w:val="F46EC3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C86073"/>
    <w:multiLevelType w:val="hybridMultilevel"/>
    <w:tmpl w:val="D1B2342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865E15"/>
    <w:multiLevelType w:val="hybridMultilevel"/>
    <w:tmpl w:val="2C726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0D36C6"/>
    <w:multiLevelType w:val="multilevel"/>
    <w:tmpl w:val="1162542C"/>
    <w:lvl w:ilvl="0">
      <w:start w:val="1"/>
      <w:numFmt w:val="decimal"/>
      <w:pStyle w:val="Ttulo1"/>
      <w:lvlText w:val="%1."/>
      <w:lvlJc w:val="left"/>
      <w:pPr>
        <w:tabs>
          <w:tab w:val="num" w:pos="36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38" w15:restartNumberingAfterBreak="0">
    <w:nsid w:val="726F5E6D"/>
    <w:multiLevelType w:val="hybridMultilevel"/>
    <w:tmpl w:val="8FE6DF6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15:restartNumberingAfterBreak="0">
    <w:nsid w:val="770F50D7"/>
    <w:multiLevelType w:val="hybridMultilevel"/>
    <w:tmpl w:val="1F08D4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4B3D4D"/>
    <w:multiLevelType w:val="hybridMultilevel"/>
    <w:tmpl w:val="CF3CD63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1" w15:restartNumberingAfterBreak="0">
    <w:nsid w:val="7F5D6283"/>
    <w:multiLevelType w:val="hybridMultilevel"/>
    <w:tmpl w:val="D11251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
  </w:num>
  <w:num w:numId="4">
    <w:abstractNumId w:val="18"/>
  </w:num>
  <w:num w:numId="5">
    <w:abstractNumId w:val="41"/>
  </w:num>
  <w:num w:numId="6">
    <w:abstractNumId w:val="0"/>
  </w:num>
  <w:num w:numId="7">
    <w:abstractNumId w:val="27"/>
  </w:num>
  <w:num w:numId="8">
    <w:abstractNumId w:val="31"/>
  </w:num>
  <w:num w:numId="9">
    <w:abstractNumId w:val="34"/>
  </w:num>
  <w:num w:numId="10">
    <w:abstractNumId w:val="4"/>
  </w:num>
  <w:num w:numId="11">
    <w:abstractNumId w:val="8"/>
  </w:num>
  <w:num w:numId="12">
    <w:abstractNumId w:val="14"/>
  </w:num>
  <w:num w:numId="13">
    <w:abstractNumId w:val="26"/>
  </w:num>
  <w:num w:numId="14">
    <w:abstractNumId w:val="16"/>
  </w:num>
  <w:num w:numId="15">
    <w:abstractNumId w:val="22"/>
  </w:num>
  <w:num w:numId="16">
    <w:abstractNumId w:val="28"/>
  </w:num>
  <w:num w:numId="17">
    <w:abstractNumId w:val="7"/>
  </w:num>
  <w:num w:numId="18">
    <w:abstractNumId w:val="10"/>
  </w:num>
  <w:num w:numId="19">
    <w:abstractNumId w:val="11"/>
  </w:num>
  <w:num w:numId="20">
    <w:abstractNumId w:val="12"/>
  </w:num>
  <w:num w:numId="21">
    <w:abstractNumId w:val="24"/>
  </w:num>
  <w:num w:numId="22">
    <w:abstractNumId w:val="30"/>
  </w:num>
  <w:num w:numId="23">
    <w:abstractNumId w:val="23"/>
  </w:num>
  <w:num w:numId="24">
    <w:abstractNumId w:val="40"/>
  </w:num>
  <w:num w:numId="25">
    <w:abstractNumId w:val="29"/>
  </w:num>
  <w:num w:numId="26">
    <w:abstractNumId w:val="36"/>
  </w:num>
  <w:num w:numId="27">
    <w:abstractNumId w:val="39"/>
  </w:num>
  <w:num w:numId="28">
    <w:abstractNumId w:val="3"/>
  </w:num>
  <w:num w:numId="29">
    <w:abstractNumId w:val="38"/>
  </w:num>
  <w:num w:numId="30">
    <w:abstractNumId w:val="17"/>
  </w:num>
  <w:num w:numId="31">
    <w:abstractNumId w:val="21"/>
  </w:num>
  <w:num w:numId="32">
    <w:abstractNumId w:val="35"/>
  </w:num>
  <w:num w:numId="33">
    <w:abstractNumId w:val="33"/>
  </w:num>
  <w:num w:numId="34">
    <w:abstractNumId w:val="19"/>
  </w:num>
  <w:num w:numId="35">
    <w:abstractNumId w:val="15"/>
  </w:num>
  <w:num w:numId="36">
    <w:abstractNumId w:val="20"/>
  </w:num>
  <w:num w:numId="37">
    <w:abstractNumId w:val="6"/>
  </w:num>
  <w:num w:numId="38">
    <w:abstractNumId w:val="25"/>
  </w:num>
  <w:num w:numId="39">
    <w:abstractNumId w:val="13"/>
  </w:num>
  <w:num w:numId="40">
    <w:abstractNumId w:val="32"/>
  </w:num>
  <w:num w:numId="41">
    <w:abstractNumId w:val="9"/>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s-ES_tradnl" w:vendorID="9" w:dllVersion="512" w:checkStyle="1"/>
  <w:activeWritingStyle w:appName="MSWord" w:lang="en-GB" w:vendorID="8"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92"/>
    <w:rsid w:val="0000025A"/>
    <w:rsid w:val="000008DF"/>
    <w:rsid w:val="00012C17"/>
    <w:rsid w:val="00013F9D"/>
    <w:rsid w:val="0001674A"/>
    <w:rsid w:val="000253B8"/>
    <w:rsid w:val="000257D5"/>
    <w:rsid w:val="000308B4"/>
    <w:rsid w:val="000321CD"/>
    <w:rsid w:val="00034555"/>
    <w:rsid w:val="00034D6C"/>
    <w:rsid w:val="00034D9F"/>
    <w:rsid w:val="00035CC6"/>
    <w:rsid w:val="00036EAC"/>
    <w:rsid w:val="00040B6C"/>
    <w:rsid w:val="00051956"/>
    <w:rsid w:val="000576A9"/>
    <w:rsid w:val="00060A5A"/>
    <w:rsid w:val="00061041"/>
    <w:rsid w:val="00061EFE"/>
    <w:rsid w:val="00063006"/>
    <w:rsid w:val="00066F7B"/>
    <w:rsid w:val="0007031A"/>
    <w:rsid w:val="00071A9E"/>
    <w:rsid w:val="00071AEC"/>
    <w:rsid w:val="000766FD"/>
    <w:rsid w:val="00077450"/>
    <w:rsid w:val="00077F12"/>
    <w:rsid w:val="00080E2C"/>
    <w:rsid w:val="00083FC9"/>
    <w:rsid w:val="0009098F"/>
    <w:rsid w:val="00092008"/>
    <w:rsid w:val="000941D4"/>
    <w:rsid w:val="00096701"/>
    <w:rsid w:val="000A0562"/>
    <w:rsid w:val="000A1D10"/>
    <w:rsid w:val="000A2AAA"/>
    <w:rsid w:val="000A3FCC"/>
    <w:rsid w:val="000B36E0"/>
    <w:rsid w:val="000B579A"/>
    <w:rsid w:val="000B5B0E"/>
    <w:rsid w:val="000B5E0E"/>
    <w:rsid w:val="000B696F"/>
    <w:rsid w:val="000C0175"/>
    <w:rsid w:val="000C05EC"/>
    <w:rsid w:val="000C3B27"/>
    <w:rsid w:val="000D2BD7"/>
    <w:rsid w:val="000D4087"/>
    <w:rsid w:val="000E1250"/>
    <w:rsid w:val="000E2A7F"/>
    <w:rsid w:val="000F0AEB"/>
    <w:rsid w:val="001031C9"/>
    <w:rsid w:val="001146D1"/>
    <w:rsid w:val="00115B8E"/>
    <w:rsid w:val="00116235"/>
    <w:rsid w:val="0012200C"/>
    <w:rsid w:val="00122497"/>
    <w:rsid w:val="001224D1"/>
    <w:rsid w:val="00124A93"/>
    <w:rsid w:val="00125E33"/>
    <w:rsid w:val="00126270"/>
    <w:rsid w:val="00126B28"/>
    <w:rsid w:val="00127462"/>
    <w:rsid w:val="00132398"/>
    <w:rsid w:val="0013630C"/>
    <w:rsid w:val="00136EEC"/>
    <w:rsid w:val="001438E3"/>
    <w:rsid w:val="00143A6E"/>
    <w:rsid w:val="00151D63"/>
    <w:rsid w:val="00152661"/>
    <w:rsid w:val="001619A9"/>
    <w:rsid w:val="00166014"/>
    <w:rsid w:val="001675AD"/>
    <w:rsid w:val="00176A3B"/>
    <w:rsid w:val="001802AB"/>
    <w:rsid w:val="00185108"/>
    <w:rsid w:val="00192D84"/>
    <w:rsid w:val="00193A68"/>
    <w:rsid w:val="00194B33"/>
    <w:rsid w:val="0019639D"/>
    <w:rsid w:val="00196B28"/>
    <w:rsid w:val="001970B6"/>
    <w:rsid w:val="00197BD2"/>
    <w:rsid w:val="001A31EC"/>
    <w:rsid w:val="001A396A"/>
    <w:rsid w:val="001B4DB5"/>
    <w:rsid w:val="001B53E2"/>
    <w:rsid w:val="001C0C8A"/>
    <w:rsid w:val="001C1D21"/>
    <w:rsid w:val="001C4AB6"/>
    <w:rsid w:val="001C6E81"/>
    <w:rsid w:val="001D0228"/>
    <w:rsid w:val="001D2E2C"/>
    <w:rsid w:val="001D45BD"/>
    <w:rsid w:val="001D6354"/>
    <w:rsid w:val="001E0444"/>
    <w:rsid w:val="001E70A8"/>
    <w:rsid w:val="001F02CE"/>
    <w:rsid w:val="001F3102"/>
    <w:rsid w:val="001F527D"/>
    <w:rsid w:val="001F654C"/>
    <w:rsid w:val="001F6C7A"/>
    <w:rsid w:val="001F7365"/>
    <w:rsid w:val="001F7752"/>
    <w:rsid w:val="0020036F"/>
    <w:rsid w:val="00201EC0"/>
    <w:rsid w:val="00204B9F"/>
    <w:rsid w:val="00204BE0"/>
    <w:rsid w:val="00210FE3"/>
    <w:rsid w:val="0021105E"/>
    <w:rsid w:val="00213F9B"/>
    <w:rsid w:val="00230786"/>
    <w:rsid w:val="002308CA"/>
    <w:rsid w:val="00230C41"/>
    <w:rsid w:val="002319FA"/>
    <w:rsid w:val="00234A85"/>
    <w:rsid w:val="00236BA4"/>
    <w:rsid w:val="0024366A"/>
    <w:rsid w:val="00245303"/>
    <w:rsid w:val="0025019B"/>
    <w:rsid w:val="00250AE0"/>
    <w:rsid w:val="0025194E"/>
    <w:rsid w:val="00253244"/>
    <w:rsid w:val="00260E73"/>
    <w:rsid w:val="002677A5"/>
    <w:rsid w:val="0027030B"/>
    <w:rsid w:val="002759EB"/>
    <w:rsid w:val="0027612E"/>
    <w:rsid w:val="0027718B"/>
    <w:rsid w:val="00277B7C"/>
    <w:rsid w:val="00286020"/>
    <w:rsid w:val="00290A95"/>
    <w:rsid w:val="00293BE5"/>
    <w:rsid w:val="00297022"/>
    <w:rsid w:val="00297FA0"/>
    <w:rsid w:val="002A0D44"/>
    <w:rsid w:val="002A5F58"/>
    <w:rsid w:val="002A7502"/>
    <w:rsid w:val="002B5D97"/>
    <w:rsid w:val="002B75DA"/>
    <w:rsid w:val="002C1F67"/>
    <w:rsid w:val="002C4F43"/>
    <w:rsid w:val="002C755B"/>
    <w:rsid w:val="002D01CD"/>
    <w:rsid w:val="002D10A5"/>
    <w:rsid w:val="002D6104"/>
    <w:rsid w:val="002D7CDF"/>
    <w:rsid w:val="002E29CA"/>
    <w:rsid w:val="002E4122"/>
    <w:rsid w:val="002E6419"/>
    <w:rsid w:val="002E657C"/>
    <w:rsid w:val="002E6821"/>
    <w:rsid w:val="002F3385"/>
    <w:rsid w:val="002F50C7"/>
    <w:rsid w:val="002F7FB5"/>
    <w:rsid w:val="0030447F"/>
    <w:rsid w:val="00312545"/>
    <w:rsid w:val="003136D7"/>
    <w:rsid w:val="0031544D"/>
    <w:rsid w:val="00323880"/>
    <w:rsid w:val="0033135D"/>
    <w:rsid w:val="003369F5"/>
    <w:rsid w:val="00340BF5"/>
    <w:rsid w:val="00341CFF"/>
    <w:rsid w:val="0034356D"/>
    <w:rsid w:val="003458E7"/>
    <w:rsid w:val="00353E97"/>
    <w:rsid w:val="00361294"/>
    <w:rsid w:val="0036673A"/>
    <w:rsid w:val="00366A75"/>
    <w:rsid w:val="00372109"/>
    <w:rsid w:val="00375BA2"/>
    <w:rsid w:val="00376FE7"/>
    <w:rsid w:val="00381792"/>
    <w:rsid w:val="003927C6"/>
    <w:rsid w:val="00393954"/>
    <w:rsid w:val="00394B64"/>
    <w:rsid w:val="003961B9"/>
    <w:rsid w:val="003971B2"/>
    <w:rsid w:val="003A38DF"/>
    <w:rsid w:val="003A7EDC"/>
    <w:rsid w:val="003B014A"/>
    <w:rsid w:val="003B1311"/>
    <w:rsid w:val="003B3FB7"/>
    <w:rsid w:val="003B4460"/>
    <w:rsid w:val="003C22E4"/>
    <w:rsid w:val="003C36A7"/>
    <w:rsid w:val="003C3C45"/>
    <w:rsid w:val="003C4CC3"/>
    <w:rsid w:val="003C4DBA"/>
    <w:rsid w:val="003C5CE7"/>
    <w:rsid w:val="003D4AF4"/>
    <w:rsid w:val="003D70F1"/>
    <w:rsid w:val="003E2220"/>
    <w:rsid w:val="003E4A3C"/>
    <w:rsid w:val="003E4D49"/>
    <w:rsid w:val="003F2097"/>
    <w:rsid w:val="00400B41"/>
    <w:rsid w:val="00401946"/>
    <w:rsid w:val="00402823"/>
    <w:rsid w:val="00402828"/>
    <w:rsid w:val="0040314C"/>
    <w:rsid w:val="00404221"/>
    <w:rsid w:val="00411495"/>
    <w:rsid w:val="00414786"/>
    <w:rsid w:val="00420706"/>
    <w:rsid w:val="00420D70"/>
    <w:rsid w:val="00431D88"/>
    <w:rsid w:val="00433F29"/>
    <w:rsid w:val="00434FC9"/>
    <w:rsid w:val="00442A26"/>
    <w:rsid w:val="00442D5B"/>
    <w:rsid w:val="004477D6"/>
    <w:rsid w:val="00447E85"/>
    <w:rsid w:val="00452E16"/>
    <w:rsid w:val="00454750"/>
    <w:rsid w:val="004557C3"/>
    <w:rsid w:val="0045786B"/>
    <w:rsid w:val="00462F88"/>
    <w:rsid w:val="004642A9"/>
    <w:rsid w:val="00464D7F"/>
    <w:rsid w:val="004652E9"/>
    <w:rsid w:val="004775FD"/>
    <w:rsid w:val="0048469F"/>
    <w:rsid w:val="004901B1"/>
    <w:rsid w:val="0049242A"/>
    <w:rsid w:val="00492F90"/>
    <w:rsid w:val="00496EFF"/>
    <w:rsid w:val="004971B8"/>
    <w:rsid w:val="004A1F85"/>
    <w:rsid w:val="004A3AA1"/>
    <w:rsid w:val="004A55E1"/>
    <w:rsid w:val="004A7047"/>
    <w:rsid w:val="004B0F66"/>
    <w:rsid w:val="004B4EA1"/>
    <w:rsid w:val="004C0143"/>
    <w:rsid w:val="004D0200"/>
    <w:rsid w:val="004D4088"/>
    <w:rsid w:val="004D6232"/>
    <w:rsid w:val="004E4666"/>
    <w:rsid w:val="004E4F2E"/>
    <w:rsid w:val="004E65DC"/>
    <w:rsid w:val="004F2913"/>
    <w:rsid w:val="004F36E2"/>
    <w:rsid w:val="004F7C84"/>
    <w:rsid w:val="00501CDD"/>
    <w:rsid w:val="005030A2"/>
    <w:rsid w:val="005030F9"/>
    <w:rsid w:val="00511073"/>
    <w:rsid w:val="005124B6"/>
    <w:rsid w:val="00513A31"/>
    <w:rsid w:val="00514FCA"/>
    <w:rsid w:val="00521479"/>
    <w:rsid w:val="005309B5"/>
    <w:rsid w:val="005311FC"/>
    <w:rsid w:val="0053158B"/>
    <w:rsid w:val="00533103"/>
    <w:rsid w:val="00535E00"/>
    <w:rsid w:val="00540ABD"/>
    <w:rsid w:val="0054438C"/>
    <w:rsid w:val="00545E71"/>
    <w:rsid w:val="005500AA"/>
    <w:rsid w:val="00550FD2"/>
    <w:rsid w:val="005519A8"/>
    <w:rsid w:val="005522BE"/>
    <w:rsid w:val="00553075"/>
    <w:rsid w:val="00553750"/>
    <w:rsid w:val="00555F5E"/>
    <w:rsid w:val="00556429"/>
    <w:rsid w:val="005568F1"/>
    <w:rsid w:val="005573C7"/>
    <w:rsid w:val="005625CE"/>
    <w:rsid w:val="005644E8"/>
    <w:rsid w:val="00564892"/>
    <w:rsid w:val="00564C71"/>
    <w:rsid w:val="005655D8"/>
    <w:rsid w:val="0056590F"/>
    <w:rsid w:val="005660F6"/>
    <w:rsid w:val="00570ADB"/>
    <w:rsid w:val="005771C9"/>
    <w:rsid w:val="00580737"/>
    <w:rsid w:val="00580D02"/>
    <w:rsid w:val="00582372"/>
    <w:rsid w:val="00587E45"/>
    <w:rsid w:val="0059173C"/>
    <w:rsid w:val="0059186F"/>
    <w:rsid w:val="00592720"/>
    <w:rsid w:val="00594270"/>
    <w:rsid w:val="005948EA"/>
    <w:rsid w:val="00595075"/>
    <w:rsid w:val="005A2445"/>
    <w:rsid w:val="005A706F"/>
    <w:rsid w:val="005B0AC5"/>
    <w:rsid w:val="005B270D"/>
    <w:rsid w:val="005B4273"/>
    <w:rsid w:val="005B65C6"/>
    <w:rsid w:val="005B6AFE"/>
    <w:rsid w:val="005C5B0C"/>
    <w:rsid w:val="005C6C22"/>
    <w:rsid w:val="005C7FCF"/>
    <w:rsid w:val="005D15AE"/>
    <w:rsid w:val="005D3387"/>
    <w:rsid w:val="005D5CE3"/>
    <w:rsid w:val="005D62DC"/>
    <w:rsid w:val="005E00B9"/>
    <w:rsid w:val="005E15D9"/>
    <w:rsid w:val="005F00EC"/>
    <w:rsid w:val="005F042F"/>
    <w:rsid w:val="005F2F52"/>
    <w:rsid w:val="005F51C6"/>
    <w:rsid w:val="005F5432"/>
    <w:rsid w:val="005F7534"/>
    <w:rsid w:val="005F7A80"/>
    <w:rsid w:val="00601A62"/>
    <w:rsid w:val="00606DF7"/>
    <w:rsid w:val="006124E6"/>
    <w:rsid w:val="00612A4A"/>
    <w:rsid w:val="00612DBF"/>
    <w:rsid w:val="00613529"/>
    <w:rsid w:val="00614F18"/>
    <w:rsid w:val="00625C35"/>
    <w:rsid w:val="006264AF"/>
    <w:rsid w:val="006342E6"/>
    <w:rsid w:val="00634CB0"/>
    <w:rsid w:val="00634CF8"/>
    <w:rsid w:val="00635140"/>
    <w:rsid w:val="006356D6"/>
    <w:rsid w:val="00636705"/>
    <w:rsid w:val="0064409A"/>
    <w:rsid w:val="0064647F"/>
    <w:rsid w:val="0065293C"/>
    <w:rsid w:val="00657FBA"/>
    <w:rsid w:val="006600FB"/>
    <w:rsid w:val="0066111E"/>
    <w:rsid w:val="00662302"/>
    <w:rsid w:val="006634A1"/>
    <w:rsid w:val="00665B03"/>
    <w:rsid w:val="00666D02"/>
    <w:rsid w:val="006834D4"/>
    <w:rsid w:val="00684A3A"/>
    <w:rsid w:val="00684BE2"/>
    <w:rsid w:val="006870BF"/>
    <w:rsid w:val="0069024F"/>
    <w:rsid w:val="00691CCC"/>
    <w:rsid w:val="00696A14"/>
    <w:rsid w:val="0069717E"/>
    <w:rsid w:val="0069753C"/>
    <w:rsid w:val="006A123D"/>
    <w:rsid w:val="006B0EEE"/>
    <w:rsid w:val="006B1D77"/>
    <w:rsid w:val="006B272F"/>
    <w:rsid w:val="006B454A"/>
    <w:rsid w:val="006B5F34"/>
    <w:rsid w:val="006B6F03"/>
    <w:rsid w:val="006B783F"/>
    <w:rsid w:val="006C11C4"/>
    <w:rsid w:val="006D4716"/>
    <w:rsid w:val="006D5541"/>
    <w:rsid w:val="006D7A0C"/>
    <w:rsid w:val="006E2F4F"/>
    <w:rsid w:val="006E3D95"/>
    <w:rsid w:val="006E3F25"/>
    <w:rsid w:val="006F02D4"/>
    <w:rsid w:val="006F1B1A"/>
    <w:rsid w:val="006F25EE"/>
    <w:rsid w:val="006F4627"/>
    <w:rsid w:val="00700AD9"/>
    <w:rsid w:val="00701800"/>
    <w:rsid w:val="00701A43"/>
    <w:rsid w:val="0070306D"/>
    <w:rsid w:val="0070615F"/>
    <w:rsid w:val="007070DE"/>
    <w:rsid w:val="00707A01"/>
    <w:rsid w:val="00715692"/>
    <w:rsid w:val="00720692"/>
    <w:rsid w:val="00725AF2"/>
    <w:rsid w:val="007271C1"/>
    <w:rsid w:val="00730A3B"/>
    <w:rsid w:val="00732191"/>
    <w:rsid w:val="00743675"/>
    <w:rsid w:val="00743FD1"/>
    <w:rsid w:val="007513D7"/>
    <w:rsid w:val="00751EE0"/>
    <w:rsid w:val="00756671"/>
    <w:rsid w:val="00757875"/>
    <w:rsid w:val="00757BD3"/>
    <w:rsid w:val="007606BC"/>
    <w:rsid w:val="00764200"/>
    <w:rsid w:val="00773A4F"/>
    <w:rsid w:val="00780361"/>
    <w:rsid w:val="00780C7F"/>
    <w:rsid w:val="00780F8A"/>
    <w:rsid w:val="00781291"/>
    <w:rsid w:val="00784F74"/>
    <w:rsid w:val="00785195"/>
    <w:rsid w:val="007861B5"/>
    <w:rsid w:val="007861E9"/>
    <w:rsid w:val="0079158A"/>
    <w:rsid w:val="00796DB7"/>
    <w:rsid w:val="007977FC"/>
    <w:rsid w:val="00797CC4"/>
    <w:rsid w:val="007A0CBC"/>
    <w:rsid w:val="007A0E40"/>
    <w:rsid w:val="007A15C4"/>
    <w:rsid w:val="007A1FCE"/>
    <w:rsid w:val="007A3B40"/>
    <w:rsid w:val="007B10C5"/>
    <w:rsid w:val="007B2285"/>
    <w:rsid w:val="007B2740"/>
    <w:rsid w:val="007B3AF9"/>
    <w:rsid w:val="007B5BD2"/>
    <w:rsid w:val="007C46D8"/>
    <w:rsid w:val="007C5098"/>
    <w:rsid w:val="007C5E1E"/>
    <w:rsid w:val="007C64BC"/>
    <w:rsid w:val="007E45CE"/>
    <w:rsid w:val="007E597B"/>
    <w:rsid w:val="007E60CD"/>
    <w:rsid w:val="007E6A95"/>
    <w:rsid w:val="007F1CC9"/>
    <w:rsid w:val="007F338E"/>
    <w:rsid w:val="007F3FED"/>
    <w:rsid w:val="00800454"/>
    <w:rsid w:val="00802355"/>
    <w:rsid w:val="008040ED"/>
    <w:rsid w:val="00805699"/>
    <w:rsid w:val="008139DE"/>
    <w:rsid w:val="00817DFA"/>
    <w:rsid w:val="008222CF"/>
    <w:rsid w:val="00824948"/>
    <w:rsid w:val="00824B98"/>
    <w:rsid w:val="00824C09"/>
    <w:rsid w:val="00827E9B"/>
    <w:rsid w:val="00830006"/>
    <w:rsid w:val="00831444"/>
    <w:rsid w:val="00831B14"/>
    <w:rsid w:val="0083289E"/>
    <w:rsid w:val="00832DBE"/>
    <w:rsid w:val="008378AE"/>
    <w:rsid w:val="00842D44"/>
    <w:rsid w:val="00847945"/>
    <w:rsid w:val="0085269C"/>
    <w:rsid w:val="00852D0D"/>
    <w:rsid w:val="008545F3"/>
    <w:rsid w:val="008559CD"/>
    <w:rsid w:val="00857456"/>
    <w:rsid w:val="008643B5"/>
    <w:rsid w:val="00871795"/>
    <w:rsid w:val="00871B90"/>
    <w:rsid w:val="0087584E"/>
    <w:rsid w:val="00875D28"/>
    <w:rsid w:val="008842D6"/>
    <w:rsid w:val="00884C2A"/>
    <w:rsid w:val="008861EF"/>
    <w:rsid w:val="00886EF8"/>
    <w:rsid w:val="00887FD1"/>
    <w:rsid w:val="00890594"/>
    <w:rsid w:val="00890DC7"/>
    <w:rsid w:val="00891E33"/>
    <w:rsid w:val="00891E4F"/>
    <w:rsid w:val="008A10C7"/>
    <w:rsid w:val="008A391D"/>
    <w:rsid w:val="008A7489"/>
    <w:rsid w:val="008A7CB0"/>
    <w:rsid w:val="008B6341"/>
    <w:rsid w:val="008B7023"/>
    <w:rsid w:val="008C035C"/>
    <w:rsid w:val="008C24EC"/>
    <w:rsid w:val="008C313E"/>
    <w:rsid w:val="008D135A"/>
    <w:rsid w:val="008D5373"/>
    <w:rsid w:val="008D6890"/>
    <w:rsid w:val="008E1599"/>
    <w:rsid w:val="008E1AB8"/>
    <w:rsid w:val="008E39AC"/>
    <w:rsid w:val="008E58B3"/>
    <w:rsid w:val="008E6400"/>
    <w:rsid w:val="008F303D"/>
    <w:rsid w:val="008F369B"/>
    <w:rsid w:val="008F5B9D"/>
    <w:rsid w:val="008F75BE"/>
    <w:rsid w:val="008F7CF3"/>
    <w:rsid w:val="009012B8"/>
    <w:rsid w:val="00912D69"/>
    <w:rsid w:val="00916FB6"/>
    <w:rsid w:val="00921614"/>
    <w:rsid w:val="00924DE8"/>
    <w:rsid w:val="00927871"/>
    <w:rsid w:val="00927A15"/>
    <w:rsid w:val="00943492"/>
    <w:rsid w:val="0094402C"/>
    <w:rsid w:val="0094485C"/>
    <w:rsid w:val="00945416"/>
    <w:rsid w:val="00945C68"/>
    <w:rsid w:val="0095223A"/>
    <w:rsid w:val="00955587"/>
    <w:rsid w:val="0095675A"/>
    <w:rsid w:val="009623D1"/>
    <w:rsid w:val="00964588"/>
    <w:rsid w:val="009663D1"/>
    <w:rsid w:val="00971C92"/>
    <w:rsid w:val="0097296F"/>
    <w:rsid w:val="00972E5E"/>
    <w:rsid w:val="00973616"/>
    <w:rsid w:val="009773E1"/>
    <w:rsid w:val="009804E1"/>
    <w:rsid w:val="00980736"/>
    <w:rsid w:val="0098094C"/>
    <w:rsid w:val="00981220"/>
    <w:rsid w:val="00986B87"/>
    <w:rsid w:val="00991202"/>
    <w:rsid w:val="00994641"/>
    <w:rsid w:val="00994E06"/>
    <w:rsid w:val="009950ED"/>
    <w:rsid w:val="00996A86"/>
    <w:rsid w:val="00997676"/>
    <w:rsid w:val="009A28AD"/>
    <w:rsid w:val="009A5BE8"/>
    <w:rsid w:val="009A5E1C"/>
    <w:rsid w:val="009B0E69"/>
    <w:rsid w:val="009B2C29"/>
    <w:rsid w:val="009B5E17"/>
    <w:rsid w:val="009B71AC"/>
    <w:rsid w:val="009C684F"/>
    <w:rsid w:val="009C754F"/>
    <w:rsid w:val="009D0AFA"/>
    <w:rsid w:val="009D1259"/>
    <w:rsid w:val="009D36BB"/>
    <w:rsid w:val="009D64B9"/>
    <w:rsid w:val="009E256F"/>
    <w:rsid w:val="009E4947"/>
    <w:rsid w:val="009E5AF1"/>
    <w:rsid w:val="009F49DA"/>
    <w:rsid w:val="009F55CF"/>
    <w:rsid w:val="009F55DB"/>
    <w:rsid w:val="009F5869"/>
    <w:rsid w:val="009F5C78"/>
    <w:rsid w:val="009F5FAA"/>
    <w:rsid w:val="009F6ADF"/>
    <w:rsid w:val="00A0076E"/>
    <w:rsid w:val="00A009B6"/>
    <w:rsid w:val="00A03532"/>
    <w:rsid w:val="00A04070"/>
    <w:rsid w:val="00A055C1"/>
    <w:rsid w:val="00A07D7A"/>
    <w:rsid w:val="00A116E1"/>
    <w:rsid w:val="00A1252B"/>
    <w:rsid w:val="00A14CE4"/>
    <w:rsid w:val="00A14F9D"/>
    <w:rsid w:val="00A15E93"/>
    <w:rsid w:val="00A16AD2"/>
    <w:rsid w:val="00A20A09"/>
    <w:rsid w:val="00A20A24"/>
    <w:rsid w:val="00A2138E"/>
    <w:rsid w:val="00A238EE"/>
    <w:rsid w:val="00A24CDD"/>
    <w:rsid w:val="00A24D18"/>
    <w:rsid w:val="00A24FF5"/>
    <w:rsid w:val="00A25FC2"/>
    <w:rsid w:val="00A2646C"/>
    <w:rsid w:val="00A26F08"/>
    <w:rsid w:val="00A26FE4"/>
    <w:rsid w:val="00A34B3B"/>
    <w:rsid w:val="00A37C01"/>
    <w:rsid w:val="00A4037C"/>
    <w:rsid w:val="00A40D3E"/>
    <w:rsid w:val="00A41132"/>
    <w:rsid w:val="00A446B6"/>
    <w:rsid w:val="00A451B5"/>
    <w:rsid w:val="00A53F86"/>
    <w:rsid w:val="00A5447B"/>
    <w:rsid w:val="00A5525F"/>
    <w:rsid w:val="00A56BA7"/>
    <w:rsid w:val="00A6078D"/>
    <w:rsid w:val="00A615BE"/>
    <w:rsid w:val="00A63306"/>
    <w:rsid w:val="00A65D1A"/>
    <w:rsid w:val="00A67E79"/>
    <w:rsid w:val="00A70DF3"/>
    <w:rsid w:val="00A73285"/>
    <w:rsid w:val="00A767EA"/>
    <w:rsid w:val="00A775E7"/>
    <w:rsid w:val="00A83065"/>
    <w:rsid w:val="00A844C7"/>
    <w:rsid w:val="00A849B6"/>
    <w:rsid w:val="00A84A90"/>
    <w:rsid w:val="00A870AE"/>
    <w:rsid w:val="00A872D6"/>
    <w:rsid w:val="00A91ED4"/>
    <w:rsid w:val="00A92CDD"/>
    <w:rsid w:val="00A930EB"/>
    <w:rsid w:val="00A93E99"/>
    <w:rsid w:val="00AA0C8B"/>
    <w:rsid w:val="00AA383A"/>
    <w:rsid w:val="00AA4FB7"/>
    <w:rsid w:val="00AA6D36"/>
    <w:rsid w:val="00AA79BF"/>
    <w:rsid w:val="00AA79DD"/>
    <w:rsid w:val="00AB0334"/>
    <w:rsid w:val="00AB1818"/>
    <w:rsid w:val="00AB1A01"/>
    <w:rsid w:val="00AB374B"/>
    <w:rsid w:val="00AB629F"/>
    <w:rsid w:val="00AB7662"/>
    <w:rsid w:val="00AC11F3"/>
    <w:rsid w:val="00AC13B1"/>
    <w:rsid w:val="00AC1ECC"/>
    <w:rsid w:val="00AC701F"/>
    <w:rsid w:val="00AC7CD5"/>
    <w:rsid w:val="00AD04C5"/>
    <w:rsid w:val="00AD24FB"/>
    <w:rsid w:val="00AD4541"/>
    <w:rsid w:val="00AD5F29"/>
    <w:rsid w:val="00AD6D36"/>
    <w:rsid w:val="00AE3C67"/>
    <w:rsid w:val="00AE4002"/>
    <w:rsid w:val="00AF2A62"/>
    <w:rsid w:val="00AF3596"/>
    <w:rsid w:val="00AF3C94"/>
    <w:rsid w:val="00AF5BFE"/>
    <w:rsid w:val="00AF78C8"/>
    <w:rsid w:val="00B0508F"/>
    <w:rsid w:val="00B05455"/>
    <w:rsid w:val="00B0571F"/>
    <w:rsid w:val="00B07AFF"/>
    <w:rsid w:val="00B07E76"/>
    <w:rsid w:val="00B165F3"/>
    <w:rsid w:val="00B20FEA"/>
    <w:rsid w:val="00B22A3F"/>
    <w:rsid w:val="00B22B91"/>
    <w:rsid w:val="00B22D7E"/>
    <w:rsid w:val="00B2606D"/>
    <w:rsid w:val="00B26AD9"/>
    <w:rsid w:val="00B347CA"/>
    <w:rsid w:val="00B402EB"/>
    <w:rsid w:val="00B409A2"/>
    <w:rsid w:val="00B42F66"/>
    <w:rsid w:val="00B50EB1"/>
    <w:rsid w:val="00B5404F"/>
    <w:rsid w:val="00B550F4"/>
    <w:rsid w:val="00B72DCC"/>
    <w:rsid w:val="00B77E55"/>
    <w:rsid w:val="00B800B0"/>
    <w:rsid w:val="00B81EC5"/>
    <w:rsid w:val="00B833B2"/>
    <w:rsid w:val="00B85343"/>
    <w:rsid w:val="00B85938"/>
    <w:rsid w:val="00B86DC3"/>
    <w:rsid w:val="00B91607"/>
    <w:rsid w:val="00B917F4"/>
    <w:rsid w:val="00B91D73"/>
    <w:rsid w:val="00B92076"/>
    <w:rsid w:val="00B94AC8"/>
    <w:rsid w:val="00B95C39"/>
    <w:rsid w:val="00B96E52"/>
    <w:rsid w:val="00BA5A43"/>
    <w:rsid w:val="00BA5F6F"/>
    <w:rsid w:val="00BC047C"/>
    <w:rsid w:val="00BC1FD5"/>
    <w:rsid w:val="00BC24FE"/>
    <w:rsid w:val="00BC5B35"/>
    <w:rsid w:val="00BC66F9"/>
    <w:rsid w:val="00BD2127"/>
    <w:rsid w:val="00BD28DC"/>
    <w:rsid w:val="00BD3A76"/>
    <w:rsid w:val="00BD471D"/>
    <w:rsid w:val="00BD5D58"/>
    <w:rsid w:val="00BD6025"/>
    <w:rsid w:val="00BD62BA"/>
    <w:rsid w:val="00BD6938"/>
    <w:rsid w:val="00BE0BEB"/>
    <w:rsid w:val="00BE2775"/>
    <w:rsid w:val="00BE45A5"/>
    <w:rsid w:val="00BF051A"/>
    <w:rsid w:val="00BF3747"/>
    <w:rsid w:val="00BF42F0"/>
    <w:rsid w:val="00BF522F"/>
    <w:rsid w:val="00BF588F"/>
    <w:rsid w:val="00BF6678"/>
    <w:rsid w:val="00BF6679"/>
    <w:rsid w:val="00C005E7"/>
    <w:rsid w:val="00C02081"/>
    <w:rsid w:val="00C03AE6"/>
    <w:rsid w:val="00C05CE8"/>
    <w:rsid w:val="00C05DAA"/>
    <w:rsid w:val="00C05E7A"/>
    <w:rsid w:val="00C06099"/>
    <w:rsid w:val="00C13232"/>
    <w:rsid w:val="00C1614C"/>
    <w:rsid w:val="00C20A89"/>
    <w:rsid w:val="00C25015"/>
    <w:rsid w:val="00C260B7"/>
    <w:rsid w:val="00C27801"/>
    <w:rsid w:val="00C305CE"/>
    <w:rsid w:val="00C349F9"/>
    <w:rsid w:val="00C4008A"/>
    <w:rsid w:val="00C4065B"/>
    <w:rsid w:val="00C43F4C"/>
    <w:rsid w:val="00C44A7F"/>
    <w:rsid w:val="00C45515"/>
    <w:rsid w:val="00C47D13"/>
    <w:rsid w:val="00C5193A"/>
    <w:rsid w:val="00C52181"/>
    <w:rsid w:val="00C525EA"/>
    <w:rsid w:val="00C538E9"/>
    <w:rsid w:val="00C55619"/>
    <w:rsid w:val="00C55D18"/>
    <w:rsid w:val="00C564E2"/>
    <w:rsid w:val="00C56BAA"/>
    <w:rsid w:val="00C56BEF"/>
    <w:rsid w:val="00C56DA8"/>
    <w:rsid w:val="00C63BED"/>
    <w:rsid w:val="00C64712"/>
    <w:rsid w:val="00C773BF"/>
    <w:rsid w:val="00C77749"/>
    <w:rsid w:val="00C77FFC"/>
    <w:rsid w:val="00C812D9"/>
    <w:rsid w:val="00C82F73"/>
    <w:rsid w:val="00C83249"/>
    <w:rsid w:val="00C86470"/>
    <w:rsid w:val="00C87F2C"/>
    <w:rsid w:val="00C90C42"/>
    <w:rsid w:val="00C90FD2"/>
    <w:rsid w:val="00C9110F"/>
    <w:rsid w:val="00CA05E0"/>
    <w:rsid w:val="00CA1AC5"/>
    <w:rsid w:val="00CA3677"/>
    <w:rsid w:val="00CA7080"/>
    <w:rsid w:val="00CB01C3"/>
    <w:rsid w:val="00CB14D2"/>
    <w:rsid w:val="00CB651B"/>
    <w:rsid w:val="00CC019C"/>
    <w:rsid w:val="00CC14B0"/>
    <w:rsid w:val="00CC30DD"/>
    <w:rsid w:val="00CC652B"/>
    <w:rsid w:val="00CC6991"/>
    <w:rsid w:val="00CD4DDC"/>
    <w:rsid w:val="00CD585B"/>
    <w:rsid w:val="00CD7EB3"/>
    <w:rsid w:val="00CE0C9E"/>
    <w:rsid w:val="00CE7339"/>
    <w:rsid w:val="00CE7410"/>
    <w:rsid w:val="00CF02E4"/>
    <w:rsid w:val="00CF5E66"/>
    <w:rsid w:val="00CF775E"/>
    <w:rsid w:val="00D01B3F"/>
    <w:rsid w:val="00D1096B"/>
    <w:rsid w:val="00D1114F"/>
    <w:rsid w:val="00D12E37"/>
    <w:rsid w:val="00D15BF8"/>
    <w:rsid w:val="00D20120"/>
    <w:rsid w:val="00D20403"/>
    <w:rsid w:val="00D237B6"/>
    <w:rsid w:val="00D245ED"/>
    <w:rsid w:val="00D30B1F"/>
    <w:rsid w:val="00D410B2"/>
    <w:rsid w:val="00D4559F"/>
    <w:rsid w:val="00D456E5"/>
    <w:rsid w:val="00D45F84"/>
    <w:rsid w:val="00D465DB"/>
    <w:rsid w:val="00D531D4"/>
    <w:rsid w:val="00D56AE2"/>
    <w:rsid w:val="00D671DE"/>
    <w:rsid w:val="00D747CE"/>
    <w:rsid w:val="00D7516D"/>
    <w:rsid w:val="00D75943"/>
    <w:rsid w:val="00D7793C"/>
    <w:rsid w:val="00D851D2"/>
    <w:rsid w:val="00D86EBC"/>
    <w:rsid w:val="00D9042D"/>
    <w:rsid w:val="00D90A32"/>
    <w:rsid w:val="00D939C8"/>
    <w:rsid w:val="00D97550"/>
    <w:rsid w:val="00DA1141"/>
    <w:rsid w:val="00DA1700"/>
    <w:rsid w:val="00DA503B"/>
    <w:rsid w:val="00DA5B11"/>
    <w:rsid w:val="00DA6086"/>
    <w:rsid w:val="00DB1A2F"/>
    <w:rsid w:val="00DB5D33"/>
    <w:rsid w:val="00DB6055"/>
    <w:rsid w:val="00DC0E68"/>
    <w:rsid w:val="00DC21A9"/>
    <w:rsid w:val="00DC2A27"/>
    <w:rsid w:val="00DC2B86"/>
    <w:rsid w:val="00DC4949"/>
    <w:rsid w:val="00DD1008"/>
    <w:rsid w:val="00DD4CBB"/>
    <w:rsid w:val="00DD6728"/>
    <w:rsid w:val="00DE2038"/>
    <w:rsid w:val="00DE2042"/>
    <w:rsid w:val="00DE3141"/>
    <w:rsid w:val="00DE3A28"/>
    <w:rsid w:val="00DE68EF"/>
    <w:rsid w:val="00DF3013"/>
    <w:rsid w:val="00DF67CC"/>
    <w:rsid w:val="00E03369"/>
    <w:rsid w:val="00E040FD"/>
    <w:rsid w:val="00E042AD"/>
    <w:rsid w:val="00E049BE"/>
    <w:rsid w:val="00E04F37"/>
    <w:rsid w:val="00E05957"/>
    <w:rsid w:val="00E15150"/>
    <w:rsid w:val="00E16ED0"/>
    <w:rsid w:val="00E208D5"/>
    <w:rsid w:val="00E2108C"/>
    <w:rsid w:val="00E21E15"/>
    <w:rsid w:val="00E256A9"/>
    <w:rsid w:val="00E2705F"/>
    <w:rsid w:val="00E275A2"/>
    <w:rsid w:val="00E30D9D"/>
    <w:rsid w:val="00E31B06"/>
    <w:rsid w:val="00E35527"/>
    <w:rsid w:val="00E36099"/>
    <w:rsid w:val="00E36152"/>
    <w:rsid w:val="00E36446"/>
    <w:rsid w:val="00E36840"/>
    <w:rsid w:val="00E37F74"/>
    <w:rsid w:val="00E47053"/>
    <w:rsid w:val="00E5636D"/>
    <w:rsid w:val="00E627E0"/>
    <w:rsid w:val="00E64B4A"/>
    <w:rsid w:val="00E70477"/>
    <w:rsid w:val="00E71DDD"/>
    <w:rsid w:val="00E732B4"/>
    <w:rsid w:val="00E746F1"/>
    <w:rsid w:val="00E814B8"/>
    <w:rsid w:val="00E83E5A"/>
    <w:rsid w:val="00E86137"/>
    <w:rsid w:val="00E90425"/>
    <w:rsid w:val="00E91F08"/>
    <w:rsid w:val="00E94737"/>
    <w:rsid w:val="00E95532"/>
    <w:rsid w:val="00E9651E"/>
    <w:rsid w:val="00E97726"/>
    <w:rsid w:val="00E97CE0"/>
    <w:rsid w:val="00EA0004"/>
    <w:rsid w:val="00EA1A2C"/>
    <w:rsid w:val="00EA24AB"/>
    <w:rsid w:val="00EB0110"/>
    <w:rsid w:val="00EB10A8"/>
    <w:rsid w:val="00EB2C82"/>
    <w:rsid w:val="00EB4796"/>
    <w:rsid w:val="00EB599C"/>
    <w:rsid w:val="00EB766E"/>
    <w:rsid w:val="00EC356A"/>
    <w:rsid w:val="00EC7550"/>
    <w:rsid w:val="00EC7644"/>
    <w:rsid w:val="00ED044E"/>
    <w:rsid w:val="00ED295A"/>
    <w:rsid w:val="00EE14D1"/>
    <w:rsid w:val="00EE46B2"/>
    <w:rsid w:val="00EE5459"/>
    <w:rsid w:val="00EE5F60"/>
    <w:rsid w:val="00EE62D8"/>
    <w:rsid w:val="00EE6589"/>
    <w:rsid w:val="00EE7F74"/>
    <w:rsid w:val="00EF0649"/>
    <w:rsid w:val="00EF1880"/>
    <w:rsid w:val="00EF5FB6"/>
    <w:rsid w:val="00EF6C55"/>
    <w:rsid w:val="00EF7B0E"/>
    <w:rsid w:val="00F03852"/>
    <w:rsid w:val="00F04CFE"/>
    <w:rsid w:val="00F1227D"/>
    <w:rsid w:val="00F203F5"/>
    <w:rsid w:val="00F22DB8"/>
    <w:rsid w:val="00F26ADF"/>
    <w:rsid w:val="00F30ECF"/>
    <w:rsid w:val="00F34550"/>
    <w:rsid w:val="00F345FF"/>
    <w:rsid w:val="00F360D5"/>
    <w:rsid w:val="00F36998"/>
    <w:rsid w:val="00F40B7E"/>
    <w:rsid w:val="00F42E13"/>
    <w:rsid w:val="00F43016"/>
    <w:rsid w:val="00F4358A"/>
    <w:rsid w:val="00F46E92"/>
    <w:rsid w:val="00F500D2"/>
    <w:rsid w:val="00F5022D"/>
    <w:rsid w:val="00F51FC8"/>
    <w:rsid w:val="00F6015C"/>
    <w:rsid w:val="00F61B08"/>
    <w:rsid w:val="00F62E45"/>
    <w:rsid w:val="00F6413B"/>
    <w:rsid w:val="00F672E3"/>
    <w:rsid w:val="00F724C4"/>
    <w:rsid w:val="00F77B74"/>
    <w:rsid w:val="00F8279A"/>
    <w:rsid w:val="00F83E96"/>
    <w:rsid w:val="00F84A2F"/>
    <w:rsid w:val="00F9390E"/>
    <w:rsid w:val="00F95E3A"/>
    <w:rsid w:val="00FA0910"/>
    <w:rsid w:val="00FA41C4"/>
    <w:rsid w:val="00FA5CBC"/>
    <w:rsid w:val="00FA6E5C"/>
    <w:rsid w:val="00FC0CF1"/>
    <w:rsid w:val="00FC11C7"/>
    <w:rsid w:val="00FC6754"/>
    <w:rsid w:val="00FC7184"/>
    <w:rsid w:val="00FD0039"/>
    <w:rsid w:val="00FD1BE8"/>
    <w:rsid w:val="00FE070C"/>
    <w:rsid w:val="00FE1A39"/>
    <w:rsid w:val="00FE477B"/>
    <w:rsid w:val="00FE4F41"/>
    <w:rsid w:val="00FE78A9"/>
    <w:rsid w:val="00FF359D"/>
    <w:rsid w:val="00FF5B0C"/>
    <w:rsid w:val="00FF6904"/>
    <w:rsid w:val="00FF6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
    </o:shapedefaults>
    <o:shapelayout v:ext="edit">
      <o:idmap v:ext="edit" data="1"/>
    </o:shapelayout>
  </w:shapeDefaults>
  <w:decimalSymbol w:val=","/>
  <w:listSeparator w:val=";"/>
  <w15:docId w15:val="{EF20130F-EF3C-47F3-92EF-850C82CA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B0"/>
    <w:rPr>
      <w:rFonts w:ascii="Arial" w:hAnsi="Arial"/>
      <w:lang w:val="en-GB"/>
    </w:rPr>
  </w:style>
  <w:style w:type="paragraph" w:styleId="Ttulo1">
    <w:name w:val="heading 1"/>
    <w:basedOn w:val="Normal"/>
    <w:next w:val="Normal"/>
    <w:uiPriority w:val="99"/>
    <w:qFormat/>
    <w:rsid w:val="00077450"/>
    <w:pPr>
      <w:keepNext/>
      <w:numPr>
        <w:numId w:val="1"/>
      </w:numPr>
      <w:spacing w:before="360" w:after="240"/>
      <w:outlineLvl w:val="0"/>
    </w:pPr>
    <w:rPr>
      <w:b/>
      <w:color w:val="0000FF"/>
      <w:kern w:val="28"/>
      <w:sz w:val="36"/>
    </w:rPr>
  </w:style>
  <w:style w:type="paragraph" w:styleId="Ttulo2">
    <w:name w:val="heading 2"/>
    <w:basedOn w:val="Normal"/>
    <w:next w:val="Normal"/>
    <w:link w:val="Ttulo2Car"/>
    <w:uiPriority w:val="99"/>
    <w:qFormat/>
    <w:rsid w:val="00A451B5"/>
    <w:pPr>
      <w:keepNext/>
      <w:numPr>
        <w:ilvl w:val="1"/>
        <w:numId w:val="1"/>
      </w:numPr>
      <w:spacing w:before="360" w:after="240"/>
      <w:outlineLvl w:val="1"/>
    </w:pPr>
    <w:rPr>
      <w:b/>
      <w:i/>
      <w:color w:val="0000FF"/>
      <w:sz w:val="28"/>
    </w:rPr>
  </w:style>
  <w:style w:type="paragraph" w:styleId="Ttulo3">
    <w:name w:val="heading 3"/>
    <w:basedOn w:val="Normal"/>
    <w:next w:val="Normal"/>
    <w:link w:val="Ttulo3Car"/>
    <w:uiPriority w:val="99"/>
    <w:qFormat/>
    <w:rsid w:val="000C0175"/>
    <w:pPr>
      <w:keepNext/>
      <w:numPr>
        <w:ilvl w:val="2"/>
        <w:numId w:val="1"/>
      </w:numPr>
      <w:spacing w:before="120" w:after="120"/>
      <w:jc w:val="both"/>
      <w:outlineLvl w:val="2"/>
    </w:pPr>
    <w:rPr>
      <w:color w:val="0000FF"/>
      <w:sz w:val="24"/>
      <w:szCs w:val="24"/>
    </w:rPr>
  </w:style>
  <w:style w:type="paragraph" w:styleId="Ttulo4">
    <w:name w:val="heading 4"/>
    <w:basedOn w:val="Normal"/>
    <w:next w:val="Normal"/>
    <w:link w:val="Ttulo4Car"/>
    <w:uiPriority w:val="99"/>
    <w:qFormat/>
    <w:rsid w:val="00D9042D"/>
    <w:pPr>
      <w:keepNext/>
      <w:numPr>
        <w:ilvl w:val="3"/>
        <w:numId w:val="1"/>
      </w:numPr>
      <w:spacing w:before="240" w:after="60"/>
      <w:outlineLvl w:val="3"/>
    </w:pPr>
    <w:rPr>
      <w:color w:val="0000FF"/>
    </w:rPr>
  </w:style>
  <w:style w:type="paragraph" w:styleId="Ttulo5">
    <w:name w:val="heading 5"/>
    <w:basedOn w:val="Normal"/>
    <w:next w:val="Normal"/>
    <w:link w:val="Ttulo5Car"/>
    <w:uiPriority w:val="99"/>
    <w:qFormat/>
    <w:rsid w:val="00E94737"/>
    <w:pPr>
      <w:numPr>
        <w:ilvl w:val="4"/>
        <w:numId w:val="1"/>
      </w:numPr>
      <w:spacing w:before="240" w:after="60"/>
      <w:outlineLvl w:val="4"/>
    </w:pPr>
    <w:rPr>
      <w:sz w:val="22"/>
    </w:rPr>
  </w:style>
  <w:style w:type="paragraph" w:styleId="Ttulo6">
    <w:name w:val="heading 6"/>
    <w:basedOn w:val="Normal"/>
    <w:next w:val="Normal"/>
    <w:uiPriority w:val="99"/>
    <w:qFormat/>
    <w:rsid w:val="00E94737"/>
    <w:pPr>
      <w:numPr>
        <w:ilvl w:val="5"/>
        <w:numId w:val="1"/>
      </w:numPr>
      <w:spacing w:before="240" w:after="60"/>
      <w:outlineLvl w:val="5"/>
    </w:pPr>
    <w:rPr>
      <w:rFonts w:ascii="Times New Roman" w:hAnsi="Times New Roman"/>
      <w:i/>
      <w:sz w:val="22"/>
    </w:rPr>
  </w:style>
  <w:style w:type="paragraph" w:styleId="Ttulo7">
    <w:name w:val="heading 7"/>
    <w:basedOn w:val="Normal"/>
    <w:next w:val="Normal"/>
    <w:uiPriority w:val="99"/>
    <w:qFormat/>
    <w:rsid w:val="00E94737"/>
    <w:pPr>
      <w:numPr>
        <w:ilvl w:val="6"/>
        <w:numId w:val="1"/>
      </w:numPr>
      <w:spacing w:before="240" w:after="60"/>
      <w:outlineLvl w:val="6"/>
    </w:pPr>
  </w:style>
  <w:style w:type="paragraph" w:styleId="Ttulo8">
    <w:name w:val="heading 8"/>
    <w:basedOn w:val="Normal"/>
    <w:next w:val="Normal"/>
    <w:uiPriority w:val="99"/>
    <w:qFormat/>
    <w:rsid w:val="00E94737"/>
    <w:pPr>
      <w:numPr>
        <w:ilvl w:val="7"/>
        <w:numId w:val="1"/>
      </w:numPr>
      <w:spacing w:before="240" w:after="60"/>
      <w:outlineLvl w:val="7"/>
    </w:pPr>
    <w:rPr>
      <w:i/>
    </w:rPr>
  </w:style>
  <w:style w:type="paragraph" w:styleId="Ttulo9">
    <w:name w:val="heading 9"/>
    <w:basedOn w:val="Normal"/>
    <w:next w:val="Normal"/>
    <w:uiPriority w:val="99"/>
    <w:qFormat/>
    <w:rsid w:val="00E94737"/>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4737"/>
    <w:pPr>
      <w:tabs>
        <w:tab w:val="center" w:pos="4252"/>
        <w:tab w:val="right" w:pos="8504"/>
      </w:tabs>
    </w:pPr>
  </w:style>
  <w:style w:type="paragraph" w:styleId="Piedepgina">
    <w:name w:val="footer"/>
    <w:basedOn w:val="Normal"/>
    <w:rsid w:val="00E94737"/>
    <w:pPr>
      <w:tabs>
        <w:tab w:val="center" w:pos="4252"/>
        <w:tab w:val="right" w:pos="8504"/>
      </w:tabs>
    </w:pPr>
  </w:style>
  <w:style w:type="character" w:styleId="Nmerodepgina">
    <w:name w:val="page number"/>
    <w:basedOn w:val="Fuentedeprrafopredeter"/>
    <w:rsid w:val="00E94737"/>
  </w:style>
  <w:style w:type="paragraph" w:styleId="TDC1">
    <w:name w:val="toc 1"/>
    <w:basedOn w:val="Normal"/>
    <w:next w:val="Normal"/>
    <w:autoRedefine/>
    <w:uiPriority w:val="39"/>
    <w:rsid w:val="00E94737"/>
    <w:pPr>
      <w:spacing w:before="120" w:after="120"/>
    </w:pPr>
    <w:rPr>
      <w:b/>
      <w:caps/>
    </w:rPr>
  </w:style>
  <w:style w:type="paragraph" w:styleId="TDC2">
    <w:name w:val="toc 2"/>
    <w:basedOn w:val="Normal"/>
    <w:next w:val="Normal"/>
    <w:autoRedefine/>
    <w:uiPriority w:val="39"/>
    <w:rsid w:val="00E94737"/>
    <w:pPr>
      <w:ind w:left="240"/>
    </w:pPr>
    <w:rPr>
      <w:smallCaps/>
      <w:sz w:val="16"/>
    </w:rPr>
  </w:style>
  <w:style w:type="paragraph" w:styleId="TDC3">
    <w:name w:val="toc 3"/>
    <w:basedOn w:val="Normal"/>
    <w:next w:val="Normal"/>
    <w:autoRedefine/>
    <w:uiPriority w:val="39"/>
    <w:rsid w:val="00E94737"/>
    <w:pPr>
      <w:ind w:left="480"/>
    </w:pPr>
    <w:rPr>
      <w:i/>
      <w:sz w:val="16"/>
    </w:rPr>
  </w:style>
  <w:style w:type="paragraph" w:styleId="TDC4">
    <w:name w:val="toc 4"/>
    <w:basedOn w:val="Normal"/>
    <w:next w:val="Normal"/>
    <w:autoRedefine/>
    <w:semiHidden/>
    <w:rsid w:val="00E94737"/>
    <w:pPr>
      <w:ind w:left="720"/>
    </w:pPr>
    <w:rPr>
      <w:rFonts w:ascii="Times New Roman" w:hAnsi="Times New Roman"/>
      <w:sz w:val="18"/>
    </w:rPr>
  </w:style>
  <w:style w:type="paragraph" w:styleId="TDC5">
    <w:name w:val="toc 5"/>
    <w:basedOn w:val="Normal"/>
    <w:next w:val="Normal"/>
    <w:autoRedefine/>
    <w:semiHidden/>
    <w:rsid w:val="00E94737"/>
    <w:pPr>
      <w:ind w:left="960"/>
    </w:pPr>
    <w:rPr>
      <w:rFonts w:ascii="Times New Roman" w:hAnsi="Times New Roman"/>
      <w:sz w:val="18"/>
    </w:rPr>
  </w:style>
  <w:style w:type="paragraph" w:styleId="TDC6">
    <w:name w:val="toc 6"/>
    <w:basedOn w:val="Normal"/>
    <w:next w:val="Normal"/>
    <w:autoRedefine/>
    <w:semiHidden/>
    <w:rsid w:val="00E94737"/>
    <w:pPr>
      <w:ind w:left="1200"/>
    </w:pPr>
    <w:rPr>
      <w:rFonts w:ascii="Times New Roman" w:hAnsi="Times New Roman"/>
      <w:sz w:val="18"/>
    </w:rPr>
  </w:style>
  <w:style w:type="paragraph" w:styleId="TDC7">
    <w:name w:val="toc 7"/>
    <w:basedOn w:val="Normal"/>
    <w:next w:val="Normal"/>
    <w:autoRedefine/>
    <w:semiHidden/>
    <w:rsid w:val="00E94737"/>
    <w:pPr>
      <w:ind w:left="1440"/>
    </w:pPr>
    <w:rPr>
      <w:rFonts w:ascii="Times New Roman" w:hAnsi="Times New Roman"/>
      <w:sz w:val="18"/>
    </w:rPr>
  </w:style>
  <w:style w:type="paragraph" w:styleId="TDC8">
    <w:name w:val="toc 8"/>
    <w:basedOn w:val="Normal"/>
    <w:next w:val="Normal"/>
    <w:autoRedefine/>
    <w:semiHidden/>
    <w:rsid w:val="00E94737"/>
    <w:pPr>
      <w:ind w:left="1680"/>
    </w:pPr>
    <w:rPr>
      <w:rFonts w:ascii="Times New Roman" w:hAnsi="Times New Roman"/>
      <w:sz w:val="18"/>
    </w:rPr>
  </w:style>
  <w:style w:type="paragraph" w:styleId="TDC9">
    <w:name w:val="toc 9"/>
    <w:basedOn w:val="Normal"/>
    <w:next w:val="Normal"/>
    <w:autoRedefine/>
    <w:semiHidden/>
    <w:rsid w:val="00E94737"/>
    <w:pPr>
      <w:ind w:left="1920"/>
    </w:pPr>
    <w:rPr>
      <w:rFonts w:ascii="Times New Roman" w:hAnsi="Times New Roman"/>
      <w:sz w:val="18"/>
    </w:rPr>
  </w:style>
  <w:style w:type="paragraph" w:styleId="Mapadeldocumento">
    <w:name w:val="Document Map"/>
    <w:basedOn w:val="Normal"/>
    <w:semiHidden/>
    <w:rsid w:val="00E94737"/>
    <w:pPr>
      <w:shd w:val="clear" w:color="auto" w:fill="000080"/>
    </w:pPr>
    <w:rPr>
      <w:rFonts w:ascii="Tahoma" w:hAnsi="Tahoma"/>
    </w:rPr>
  </w:style>
  <w:style w:type="paragraph" w:styleId="Textoindependiente">
    <w:name w:val="Body Text"/>
    <w:basedOn w:val="Normal"/>
    <w:rsid w:val="00E94737"/>
    <w:pPr>
      <w:jc w:val="both"/>
    </w:pPr>
    <w:rPr>
      <w:lang w:val="es-ES_tradnl"/>
    </w:rPr>
  </w:style>
  <w:style w:type="paragraph" w:styleId="Puesto">
    <w:name w:val="Title"/>
    <w:basedOn w:val="Normal"/>
    <w:qFormat/>
    <w:rsid w:val="00E94737"/>
    <w:pPr>
      <w:spacing w:after="240" w:line="240" w:lineRule="atLeast"/>
      <w:jc w:val="center"/>
    </w:pPr>
    <w:rPr>
      <w:rFonts w:ascii="Univers" w:hAnsi="Univers"/>
      <w:b/>
      <w:sz w:val="28"/>
      <w:lang w:val="es-ES_tradnl"/>
    </w:rPr>
  </w:style>
  <w:style w:type="character" w:styleId="Hipervnculo">
    <w:name w:val="Hyperlink"/>
    <w:basedOn w:val="Fuentedeprrafopredeter"/>
    <w:uiPriority w:val="99"/>
    <w:rsid w:val="00B165F3"/>
    <w:rPr>
      <w:color w:val="0000FF"/>
      <w:u w:val="single"/>
    </w:rPr>
  </w:style>
  <w:style w:type="table" w:styleId="Tablaconcuadrcula">
    <w:name w:val="Table Grid"/>
    <w:basedOn w:val="Tablanormal"/>
    <w:rsid w:val="00B1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B165F3"/>
    <w:pPr>
      <w:overflowPunct w:val="0"/>
      <w:autoSpaceDE w:val="0"/>
      <w:autoSpaceDN w:val="0"/>
      <w:adjustRightInd w:val="0"/>
      <w:textAlignment w:val="baseline"/>
    </w:pPr>
    <w:rPr>
      <w:lang w:val="fr-FR" w:eastAsia="fr-FR"/>
    </w:rPr>
  </w:style>
  <w:style w:type="character" w:styleId="Hipervnculovisitado">
    <w:name w:val="FollowedHyperlink"/>
    <w:basedOn w:val="Fuentedeprrafopredeter"/>
    <w:rsid w:val="00B165F3"/>
    <w:rPr>
      <w:color w:val="800080"/>
      <w:u w:val="single"/>
    </w:rPr>
  </w:style>
  <w:style w:type="character" w:styleId="Textoennegrita">
    <w:name w:val="Strong"/>
    <w:basedOn w:val="Fuentedeprrafopredeter"/>
    <w:uiPriority w:val="22"/>
    <w:qFormat/>
    <w:rsid w:val="00B165F3"/>
    <w:rPr>
      <w:b/>
      <w:bCs/>
    </w:rPr>
  </w:style>
  <w:style w:type="paragraph" w:customStyle="1" w:styleId="Prrafodelista1">
    <w:name w:val="Párrafo de lista1"/>
    <w:basedOn w:val="Normal"/>
    <w:qFormat/>
    <w:rsid w:val="00B165F3"/>
    <w:pPr>
      <w:ind w:left="720"/>
    </w:pPr>
    <w:rPr>
      <w:rFonts w:ascii="Calibri" w:eastAsia="Calibri" w:hAnsi="Calibri"/>
      <w:sz w:val="22"/>
      <w:szCs w:val="22"/>
      <w:lang w:val="en-US" w:eastAsia="en-US"/>
    </w:rPr>
  </w:style>
  <w:style w:type="paragraph" w:styleId="NormalWeb">
    <w:name w:val="Normal (Web)"/>
    <w:aliases w:val=" webb,webb"/>
    <w:basedOn w:val="Normal"/>
    <w:uiPriority w:val="99"/>
    <w:rsid w:val="00B165F3"/>
    <w:pPr>
      <w:spacing w:before="100" w:beforeAutospacing="1" w:after="100" w:afterAutospacing="1"/>
    </w:pPr>
    <w:rPr>
      <w:rFonts w:ascii="Arial Unicode MS" w:eastAsia="Arial Unicode MS" w:hAnsi="Arial Unicode MS" w:cs="Arial Unicode MS"/>
      <w:color w:val="000080"/>
      <w:sz w:val="18"/>
      <w:szCs w:val="18"/>
      <w:lang w:val="de-DE" w:eastAsia="de-DE"/>
    </w:rPr>
  </w:style>
  <w:style w:type="paragraph" w:customStyle="1" w:styleId="prueba01">
    <w:name w:val="prueba 01"/>
    <w:basedOn w:val="Normal"/>
    <w:rsid w:val="00B165F3"/>
    <w:pPr>
      <w:tabs>
        <w:tab w:val="num" w:pos="360"/>
      </w:tabs>
    </w:pPr>
    <w:rPr>
      <w:sz w:val="18"/>
      <w:szCs w:val="18"/>
      <w:lang w:val="es-ES"/>
    </w:rPr>
  </w:style>
  <w:style w:type="character" w:customStyle="1" w:styleId="q">
    <w:name w:val="q"/>
    <w:basedOn w:val="Fuentedeprrafopredeter"/>
    <w:rsid w:val="00B165F3"/>
  </w:style>
  <w:style w:type="paragraph" w:styleId="Textodeglobo">
    <w:name w:val="Balloon Text"/>
    <w:basedOn w:val="Normal"/>
    <w:semiHidden/>
    <w:rsid w:val="00B165F3"/>
    <w:rPr>
      <w:rFonts w:ascii="Tahoma" w:hAnsi="Tahoma" w:cs="Tahoma"/>
      <w:sz w:val="16"/>
      <w:szCs w:val="16"/>
      <w:lang w:val="es-ES"/>
    </w:rPr>
  </w:style>
  <w:style w:type="character" w:customStyle="1" w:styleId="hw">
    <w:name w:val="hw"/>
    <w:basedOn w:val="Fuentedeprrafopredeter"/>
    <w:rsid w:val="001224D1"/>
  </w:style>
  <w:style w:type="paragraph" w:styleId="Textoindependiente2">
    <w:name w:val="Body Text 2"/>
    <w:basedOn w:val="Normal"/>
    <w:rsid w:val="008A7CB0"/>
    <w:pPr>
      <w:spacing w:after="120" w:line="480" w:lineRule="auto"/>
    </w:pPr>
  </w:style>
  <w:style w:type="character" w:customStyle="1" w:styleId="apple-style-span">
    <w:name w:val="apple-style-span"/>
    <w:basedOn w:val="Fuentedeprrafopredeter"/>
    <w:rsid w:val="001F3102"/>
  </w:style>
  <w:style w:type="character" w:customStyle="1" w:styleId="Ttulo2Car">
    <w:name w:val="Título 2 Car"/>
    <w:basedOn w:val="Fuentedeprrafopredeter"/>
    <w:link w:val="Ttulo2"/>
    <w:uiPriority w:val="99"/>
    <w:rsid w:val="009804E1"/>
    <w:rPr>
      <w:rFonts w:ascii="Arial" w:hAnsi="Arial"/>
      <w:b/>
      <w:i/>
      <w:color w:val="0000FF"/>
      <w:sz w:val="28"/>
      <w:lang w:val="en-GB"/>
    </w:rPr>
  </w:style>
  <w:style w:type="character" w:customStyle="1" w:styleId="Ttulo3Car">
    <w:name w:val="Título 3 Car"/>
    <w:basedOn w:val="Fuentedeprrafopredeter"/>
    <w:link w:val="Ttulo3"/>
    <w:uiPriority w:val="99"/>
    <w:rsid w:val="009804E1"/>
    <w:rPr>
      <w:rFonts w:ascii="Arial" w:hAnsi="Arial"/>
      <w:color w:val="0000FF"/>
      <w:sz w:val="24"/>
      <w:szCs w:val="24"/>
      <w:lang w:val="en-GB"/>
    </w:rPr>
  </w:style>
  <w:style w:type="paragraph" w:customStyle="1" w:styleId="PARAGRAPH">
    <w:name w:val="PARAGRAPH"/>
    <w:link w:val="PARAGRAPHChar"/>
    <w:qFormat/>
    <w:rsid w:val="001C4AB6"/>
    <w:pPr>
      <w:snapToGrid w:val="0"/>
      <w:spacing w:before="100" w:after="200"/>
      <w:jc w:val="both"/>
    </w:pPr>
    <w:rPr>
      <w:rFonts w:ascii="Arial" w:hAnsi="Arial" w:cs="Arial"/>
      <w:spacing w:val="8"/>
      <w:lang w:val="en-GB" w:eastAsia="zh-CN"/>
    </w:rPr>
  </w:style>
  <w:style w:type="character" w:customStyle="1" w:styleId="PARAGRAPHChar">
    <w:name w:val="PARAGRAPH Char"/>
    <w:basedOn w:val="Fuentedeprrafopredeter"/>
    <w:link w:val="PARAGRAPH"/>
    <w:rsid w:val="001C4AB6"/>
    <w:rPr>
      <w:rFonts w:ascii="Arial" w:hAnsi="Arial" w:cs="Arial"/>
      <w:spacing w:val="8"/>
      <w:lang w:val="en-GB" w:eastAsia="zh-CN" w:bidi="ar-SA"/>
    </w:rPr>
  </w:style>
  <w:style w:type="paragraph" w:styleId="Prrafodelista">
    <w:name w:val="List Paragraph"/>
    <w:basedOn w:val="Normal"/>
    <w:uiPriority w:val="99"/>
    <w:qFormat/>
    <w:rsid w:val="003B1311"/>
    <w:pPr>
      <w:ind w:left="720"/>
      <w:contextualSpacing/>
    </w:pPr>
  </w:style>
  <w:style w:type="paragraph" w:customStyle="1" w:styleId="listparagraph">
    <w:name w:val="listparagraph"/>
    <w:basedOn w:val="Normal"/>
    <w:rsid w:val="009F5869"/>
    <w:pPr>
      <w:spacing w:before="100" w:beforeAutospacing="1" w:after="100" w:afterAutospacing="1"/>
    </w:pPr>
    <w:rPr>
      <w:rFonts w:ascii="Times New Roman" w:eastAsiaTheme="minorHAnsi" w:hAnsi="Times New Roman"/>
      <w:sz w:val="24"/>
      <w:szCs w:val="24"/>
      <w:lang w:val="es-ES"/>
    </w:rPr>
  </w:style>
  <w:style w:type="character" w:styleId="nfasis">
    <w:name w:val="Emphasis"/>
    <w:basedOn w:val="Fuentedeprrafopredeter"/>
    <w:uiPriority w:val="20"/>
    <w:qFormat/>
    <w:rsid w:val="008E39AC"/>
    <w:rPr>
      <w:i/>
      <w:iCs/>
    </w:rPr>
  </w:style>
  <w:style w:type="character" w:customStyle="1" w:styleId="at3">
    <w:name w:val="a__t3"/>
    <w:basedOn w:val="Fuentedeprrafopredeter"/>
    <w:rsid w:val="008E39AC"/>
  </w:style>
  <w:style w:type="character" w:customStyle="1" w:styleId="apple-converted-space">
    <w:name w:val="apple-converted-space"/>
    <w:basedOn w:val="Fuentedeprrafopredeter"/>
    <w:rsid w:val="008E39AC"/>
  </w:style>
  <w:style w:type="character" w:customStyle="1" w:styleId="Ttulo4Car">
    <w:name w:val="Título 4 Car"/>
    <w:basedOn w:val="Fuentedeprrafopredeter"/>
    <w:link w:val="Ttulo4"/>
    <w:uiPriority w:val="99"/>
    <w:rsid w:val="00DE68EF"/>
    <w:rPr>
      <w:rFonts w:ascii="Arial" w:hAnsi="Arial"/>
      <w:color w:val="0000FF"/>
      <w:lang w:val="en-GB"/>
    </w:rPr>
  </w:style>
  <w:style w:type="paragraph" w:customStyle="1" w:styleId="titulo5new">
    <w:name w:val="titulo 5 new"/>
    <w:basedOn w:val="Ttulo5"/>
    <w:link w:val="titulo5newCar"/>
    <w:qFormat/>
    <w:rsid w:val="00AC11F3"/>
    <w:rPr>
      <w:color w:val="0070C0"/>
      <w:sz w:val="20"/>
      <w:lang w:val="es-ES"/>
    </w:rPr>
  </w:style>
  <w:style w:type="character" w:customStyle="1" w:styleId="Ttulo5Car">
    <w:name w:val="Título 5 Car"/>
    <w:basedOn w:val="Fuentedeprrafopredeter"/>
    <w:link w:val="Ttulo5"/>
    <w:uiPriority w:val="99"/>
    <w:rsid w:val="00AC11F3"/>
    <w:rPr>
      <w:rFonts w:ascii="Arial" w:hAnsi="Arial"/>
      <w:sz w:val="22"/>
      <w:lang w:val="en-GB"/>
    </w:rPr>
  </w:style>
  <w:style w:type="character" w:customStyle="1" w:styleId="titulo5newCar">
    <w:name w:val="titulo 5 new Car"/>
    <w:basedOn w:val="Ttulo5Car"/>
    <w:link w:val="titulo5new"/>
    <w:rsid w:val="00AC11F3"/>
    <w:rPr>
      <w:rFonts w:ascii="Arial" w:hAnsi="Arial"/>
      <w:color w:val="0070C0"/>
      <w:sz w:val="22"/>
      <w:lang w:val="en-GB"/>
    </w:rPr>
  </w:style>
  <w:style w:type="paragraph" w:customStyle="1" w:styleId="CM4">
    <w:name w:val="CM4"/>
    <w:basedOn w:val="Normal"/>
    <w:next w:val="Normal"/>
    <w:uiPriority w:val="99"/>
    <w:rsid w:val="00C538E9"/>
    <w:pPr>
      <w:autoSpaceDE w:val="0"/>
      <w:autoSpaceDN w:val="0"/>
      <w:adjustRightInd w:val="0"/>
    </w:pPr>
    <w:rPr>
      <w:rFonts w:ascii="EUAlbertina" w:eastAsiaTheme="minorHAnsi" w:hAnsi="EUAlbertina" w:cstheme="minorBidi"/>
      <w:sz w:val="24"/>
      <w:szCs w:val="24"/>
      <w:lang w:val="es-ES" w:eastAsia="en-US"/>
    </w:rPr>
  </w:style>
  <w:style w:type="paragraph" w:customStyle="1" w:styleId="CM1">
    <w:name w:val="CM1"/>
    <w:basedOn w:val="Normal"/>
    <w:next w:val="Normal"/>
    <w:uiPriority w:val="99"/>
    <w:rsid w:val="00FC11C7"/>
    <w:pPr>
      <w:autoSpaceDE w:val="0"/>
      <w:autoSpaceDN w:val="0"/>
      <w:adjustRightInd w:val="0"/>
    </w:pPr>
    <w:rPr>
      <w:rFonts w:ascii="EUAlbertina" w:hAnsi="EUAlbertina"/>
      <w:sz w:val="24"/>
      <w:szCs w:val="24"/>
      <w:lang w:val="es-ES"/>
    </w:rPr>
  </w:style>
  <w:style w:type="paragraph" w:customStyle="1" w:styleId="CM3">
    <w:name w:val="CM3"/>
    <w:basedOn w:val="Normal"/>
    <w:next w:val="Normal"/>
    <w:uiPriority w:val="99"/>
    <w:rsid w:val="00FC11C7"/>
    <w:pPr>
      <w:autoSpaceDE w:val="0"/>
      <w:autoSpaceDN w:val="0"/>
      <w:adjustRightInd w:val="0"/>
    </w:pPr>
    <w:rPr>
      <w:rFonts w:ascii="EUAlbertina" w:hAnsi="EUAlbertina"/>
      <w:sz w:val="24"/>
      <w:szCs w:val="24"/>
      <w:lang w:val="es-ES"/>
    </w:rPr>
  </w:style>
  <w:style w:type="paragraph" w:styleId="Textosinformato">
    <w:name w:val="Plain Text"/>
    <w:basedOn w:val="Normal"/>
    <w:link w:val="TextosinformatoCar"/>
    <w:uiPriority w:val="99"/>
    <w:unhideWhenUsed/>
    <w:rsid w:val="00707A01"/>
    <w:rPr>
      <w:rFonts w:ascii="Calibri" w:eastAsiaTheme="minorHAnsi" w:hAnsi="Calibri" w:cs="Consolas"/>
      <w:sz w:val="22"/>
      <w:szCs w:val="21"/>
      <w:lang w:val="es-ES" w:eastAsia="en-US"/>
    </w:rPr>
  </w:style>
  <w:style w:type="character" w:customStyle="1" w:styleId="TextosinformatoCar">
    <w:name w:val="Texto sin formato Car"/>
    <w:basedOn w:val="Fuentedeprrafopredeter"/>
    <w:link w:val="Textosinformato"/>
    <w:uiPriority w:val="99"/>
    <w:rsid w:val="00707A01"/>
    <w:rPr>
      <w:rFonts w:ascii="Calibri" w:eastAsiaTheme="minorHAnsi" w:hAnsi="Calibri" w:cs="Consolas"/>
      <w:sz w:val="22"/>
      <w:szCs w:val="21"/>
      <w:lang w:eastAsia="en-US"/>
    </w:rPr>
  </w:style>
  <w:style w:type="paragraph" w:customStyle="1" w:styleId="parrafo1">
    <w:name w:val="parrafo1"/>
    <w:basedOn w:val="Normal"/>
    <w:rsid w:val="005E00B9"/>
    <w:pPr>
      <w:spacing w:before="180" w:after="180"/>
      <w:ind w:firstLine="360"/>
      <w:jc w:val="both"/>
    </w:pPr>
    <w:rPr>
      <w:rFonts w:ascii="Times New Roman" w:hAnsi="Times New Roman"/>
      <w:sz w:val="24"/>
      <w:szCs w:val="24"/>
      <w:lang w:val="es-ES"/>
    </w:rPr>
  </w:style>
  <w:style w:type="character" w:customStyle="1" w:styleId="st">
    <w:name w:val="st"/>
    <w:basedOn w:val="Fuentedeprrafopredeter"/>
    <w:rsid w:val="009663D1"/>
  </w:style>
  <w:style w:type="character" w:styleId="Refdecomentario">
    <w:name w:val="annotation reference"/>
    <w:uiPriority w:val="99"/>
    <w:unhideWhenUsed/>
    <w:rsid w:val="00E355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574">
      <w:bodyDiv w:val="1"/>
      <w:marLeft w:val="0"/>
      <w:marRight w:val="0"/>
      <w:marTop w:val="0"/>
      <w:marBottom w:val="0"/>
      <w:divBdr>
        <w:top w:val="none" w:sz="0" w:space="0" w:color="auto"/>
        <w:left w:val="none" w:sz="0" w:space="0" w:color="auto"/>
        <w:bottom w:val="none" w:sz="0" w:space="0" w:color="auto"/>
        <w:right w:val="none" w:sz="0" w:space="0" w:color="auto"/>
      </w:divBdr>
    </w:div>
    <w:div w:id="44646801">
      <w:bodyDiv w:val="1"/>
      <w:marLeft w:val="0"/>
      <w:marRight w:val="0"/>
      <w:marTop w:val="0"/>
      <w:marBottom w:val="0"/>
      <w:divBdr>
        <w:top w:val="none" w:sz="0" w:space="0" w:color="auto"/>
        <w:left w:val="none" w:sz="0" w:space="0" w:color="auto"/>
        <w:bottom w:val="none" w:sz="0" w:space="0" w:color="auto"/>
        <w:right w:val="none" w:sz="0" w:space="0" w:color="auto"/>
      </w:divBdr>
    </w:div>
    <w:div w:id="146753029">
      <w:bodyDiv w:val="1"/>
      <w:marLeft w:val="0"/>
      <w:marRight w:val="0"/>
      <w:marTop w:val="0"/>
      <w:marBottom w:val="0"/>
      <w:divBdr>
        <w:top w:val="none" w:sz="0" w:space="0" w:color="auto"/>
        <w:left w:val="none" w:sz="0" w:space="0" w:color="auto"/>
        <w:bottom w:val="none" w:sz="0" w:space="0" w:color="auto"/>
        <w:right w:val="none" w:sz="0" w:space="0" w:color="auto"/>
      </w:divBdr>
      <w:divsChild>
        <w:div w:id="881282395">
          <w:marLeft w:val="547"/>
          <w:marRight w:val="0"/>
          <w:marTop w:val="115"/>
          <w:marBottom w:val="0"/>
          <w:divBdr>
            <w:top w:val="none" w:sz="0" w:space="0" w:color="auto"/>
            <w:left w:val="none" w:sz="0" w:space="0" w:color="auto"/>
            <w:bottom w:val="none" w:sz="0" w:space="0" w:color="auto"/>
            <w:right w:val="none" w:sz="0" w:space="0" w:color="auto"/>
          </w:divBdr>
        </w:div>
        <w:div w:id="1272665459">
          <w:marLeft w:val="547"/>
          <w:marRight w:val="0"/>
          <w:marTop w:val="115"/>
          <w:marBottom w:val="0"/>
          <w:divBdr>
            <w:top w:val="none" w:sz="0" w:space="0" w:color="auto"/>
            <w:left w:val="none" w:sz="0" w:space="0" w:color="auto"/>
            <w:bottom w:val="none" w:sz="0" w:space="0" w:color="auto"/>
            <w:right w:val="none" w:sz="0" w:space="0" w:color="auto"/>
          </w:divBdr>
        </w:div>
        <w:div w:id="2010255775">
          <w:marLeft w:val="547"/>
          <w:marRight w:val="0"/>
          <w:marTop w:val="115"/>
          <w:marBottom w:val="0"/>
          <w:divBdr>
            <w:top w:val="none" w:sz="0" w:space="0" w:color="auto"/>
            <w:left w:val="none" w:sz="0" w:space="0" w:color="auto"/>
            <w:bottom w:val="none" w:sz="0" w:space="0" w:color="auto"/>
            <w:right w:val="none" w:sz="0" w:space="0" w:color="auto"/>
          </w:divBdr>
        </w:div>
      </w:divsChild>
    </w:div>
    <w:div w:id="197205310">
      <w:bodyDiv w:val="1"/>
      <w:marLeft w:val="0"/>
      <w:marRight w:val="0"/>
      <w:marTop w:val="0"/>
      <w:marBottom w:val="0"/>
      <w:divBdr>
        <w:top w:val="none" w:sz="0" w:space="0" w:color="auto"/>
        <w:left w:val="none" w:sz="0" w:space="0" w:color="auto"/>
        <w:bottom w:val="none" w:sz="0" w:space="0" w:color="auto"/>
        <w:right w:val="none" w:sz="0" w:space="0" w:color="auto"/>
      </w:divBdr>
    </w:div>
    <w:div w:id="252518407">
      <w:bodyDiv w:val="1"/>
      <w:marLeft w:val="0"/>
      <w:marRight w:val="0"/>
      <w:marTop w:val="0"/>
      <w:marBottom w:val="0"/>
      <w:divBdr>
        <w:top w:val="none" w:sz="0" w:space="0" w:color="auto"/>
        <w:left w:val="none" w:sz="0" w:space="0" w:color="auto"/>
        <w:bottom w:val="none" w:sz="0" w:space="0" w:color="auto"/>
        <w:right w:val="none" w:sz="0" w:space="0" w:color="auto"/>
      </w:divBdr>
    </w:div>
    <w:div w:id="332337072">
      <w:bodyDiv w:val="1"/>
      <w:marLeft w:val="0"/>
      <w:marRight w:val="0"/>
      <w:marTop w:val="0"/>
      <w:marBottom w:val="0"/>
      <w:divBdr>
        <w:top w:val="none" w:sz="0" w:space="0" w:color="auto"/>
        <w:left w:val="none" w:sz="0" w:space="0" w:color="auto"/>
        <w:bottom w:val="none" w:sz="0" w:space="0" w:color="auto"/>
        <w:right w:val="none" w:sz="0" w:space="0" w:color="auto"/>
      </w:divBdr>
    </w:div>
    <w:div w:id="404957299">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74227480">
      <w:bodyDiv w:val="1"/>
      <w:marLeft w:val="0"/>
      <w:marRight w:val="0"/>
      <w:marTop w:val="0"/>
      <w:marBottom w:val="0"/>
      <w:divBdr>
        <w:top w:val="none" w:sz="0" w:space="0" w:color="auto"/>
        <w:left w:val="none" w:sz="0" w:space="0" w:color="auto"/>
        <w:bottom w:val="none" w:sz="0" w:space="0" w:color="auto"/>
        <w:right w:val="none" w:sz="0" w:space="0" w:color="auto"/>
      </w:divBdr>
    </w:div>
    <w:div w:id="497113154">
      <w:bodyDiv w:val="1"/>
      <w:marLeft w:val="0"/>
      <w:marRight w:val="0"/>
      <w:marTop w:val="0"/>
      <w:marBottom w:val="0"/>
      <w:divBdr>
        <w:top w:val="none" w:sz="0" w:space="0" w:color="auto"/>
        <w:left w:val="none" w:sz="0" w:space="0" w:color="auto"/>
        <w:bottom w:val="none" w:sz="0" w:space="0" w:color="auto"/>
        <w:right w:val="none" w:sz="0" w:space="0" w:color="auto"/>
      </w:divBdr>
      <w:divsChild>
        <w:div w:id="1389260659">
          <w:marLeft w:val="547"/>
          <w:marRight w:val="0"/>
          <w:marTop w:val="86"/>
          <w:marBottom w:val="0"/>
          <w:divBdr>
            <w:top w:val="none" w:sz="0" w:space="0" w:color="auto"/>
            <w:left w:val="none" w:sz="0" w:space="0" w:color="auto"/>
            <w:bottom w:val="none" w:sz="0" w:space="0" w:color="auto"/>
            <w:right w:val="none" w:sz="0" w:space="0" w:color="auto"/>
          </w:divBdr>
        </w:div>
        <w:div w:id="382094567">
          <w:marLeft w:val="1166"/>
          <w:marRight w:val="0"/>
          <w:marTop w:val="72"/>
          <w:marBottom w:val="0"/>
          <w:divBdr>
            <w:top w:val="none" w:sz="0" w:space="0" w:color="auto"/>
            <w:left w:val="none" w:sz="0" w:space="0" w:color="auto"/>
            <w:bottom w:val="none" w:sz="0" w:space="0" w:color="auto"/>
            <w:right w:val="none" w:sz="0" w:space="0" w:color="auto"/>
          </w:divBdr>
        </w:div>
        <w:div w:id="120079810">
          <w:marLeft w:val="1800"/>
          <w:marRight w:val="0"/>
          <w:marTop w:val="62"/>
          <w:marBottom w:val="0"/>
          <w:divBdr>
            <w:top w:val="none" w:sz="0" w:space="0" w:color="auto"/>
            <w:left w:val="none" w:sz="0" w:space="0" w:color="auto"/>
            <w:bottom w:val="none" w:sz="0" w:space="0" w:color="auto"/>
            <w:right w:val="none" w:sz="0" w:space="0" w:color="auto"/>
          </w:divBdr>
        </w:div>
        <w:div w:id="330569727">
          <w:marLeft w:val="1800"/>
          <w:marRight w:val="0"/>
          <w:marTop w:val="62"/>
          <w:marBottom w:val="0"/>
          <w:divBdr>
            <w:top w:val="none" w:sz="0" w:space="0" w:color="auto"/>
            <w:left w:val="none" w:sz="0" w:space="0" w:color="auto"/>
            <w:bottom w:val="none" w:sz="0" w:space="0" w:color="auto"/>
            <w:right w:val="none" w:sz="0" w:space="0" w:color="auto"/>
          </w:divBdr>
        </w:div>
        <w:div w:id="269240091">
          <w:marLeft w:val="1800"/>
          <w:marRight w:val="0"/>
          <w:marTop w:val="62"/>
          <w:marBottom w:val="0"/>
          <w:divBdr>
            <w:top w:val="none" w:sz="0" w:space="0" w:color="auto"/>
            <w:left w:val="none" w:sz="0" w:space="0" w:color="auto"/>
            <w:bottom w:val="none" w:sz="0" w:space="0" w:color="auto"/>
            <w:right w:val="none" w:sz="0" w:space="0" w:color="auto"/>
          </w:divBdr>
        </w:div>
        <w:div w:id="1181243189">
          <w:marLeft w:val="1166"/>
          <w:marRight w:val="0"/>
          <w:marTop w:val="72"/>
          <w:marBottom w:val="0"/>
          <w:divBdr>
            <w:top w:val="none" w:sz="0" w:space="0" w:color="auto"/>
            <w:left w:val="none" w:sz="0" w:space="0" w:color="auto"/>
            <w:bottom w:val="none" w:sz="0" w:space="0" w:color="auto"/>
            <w:right w:val="none" w:sz="0" w:space="0" w:color="auto"/>
          </w:divBdr>
        </w:div>
        <w:div w:id="548763983">
          <w:marLeft w:val="1800"/>
          <w:marRight w:val="0"/>
          <w:marTop w:val="62"/>
          <w:marBottom w:val="0"/>
          <w:divBdr>
            <w:top w:val="none" w:sz="0" w:space="0" w:color="auto"/>
            <w:left w:val="none" w:sz="0" w:space="0" w:color="auto"/>
            <w:bottom w:val="none" w:sz="0" w:space="0" w:color="auto"/>
            <w:right w:val="none" w:sz="0" w:space="0" w:color="auto"/>
          </w:divBdr>
        </w:div>
        <w:div w:id="179903799">
          <w:marLeft w:val="1800"/>
          <w:marRight w:val="0"/>
          <w:marTop w:val="62"/>
          <w:marBottom w:val="0"/>
          <w:divBdr>
            <w:top w:val="none" w:sz="0" w:space="0" w:color="auto"/>
            <w:left w:val="none" w:sz="0" w:space="0" w:color="auto"/>
            <w:bottom w:val="none" w:sz="0" w:space="0" w:color="auto"/>
            <w:right w:val="none" w:sz="0" w:space="0" w:color="auto"/>
          </w:divBdr>
        </w:div>
        <w:div w:id="1584031168">
          <w:marLeft w:val="1800"/>
          <w:marRight w:val="0"/>
          <w:marTop w:val="62"/>
          <w:marBottom w:val="0"/>
          <w:divBdr>
            <w:top w:val="none" w:sz="0" w:space="0" w:color="auto"/>
            <w:left w:val="none" w:sz="0" w:space="0" w:color="auto"/>
            <w:bottom w:val="none" w:sz="0" w:space="0" w:color="auto"/>
            <w:right w:val="none" w:sz="0" w:space="0" w:color="auto"/>
          </w:divBdr>
        </w:div>
        <w:div w:id="575285577">
          <w:marLeft w:val="1166"/>
          <w:marRight w:val="0"/>
          <w:marTop w:val="72"/>
          <w:marBottom w:val="0"/>
          <w:divBdr>
            <w:top w:val="none" w:sz="0" w:space="0" w:color="auto"/>
            <w:left w:val="none" w:sz="0" w:space="0" w:color="auto"/>
            <w:bottom w:val="none" w:sz="0" w:space="0" w:color="auto"/>
            <w:right w:val="none" w:sz="0" w:space="0" w:color="auto"/>
          </w:divBdr>
        </w:div>
        <w:div w:id="193884222">
          <w:marLeft w:val="1800"/>
          <w:marRight w:val="0"/>
          <w:marTop w:val="62"/>
          <w:marBottom w:val="0"/>
          <w:divBdr>
            <w:top w:val="none" w:sz="0" w:space="0" w:color="auto"/>
            <w:left w:val="none" w:sz="0" w:space="0" w:color="auto"/>
            <w:bottom w:val="none" w:sz="0" w:space="0" w:color="auto"/>
            <w:right w:val="none" w:sz="0" w:space="0" w:color="auto"/>
          </w:divBdr>
        </w:div>
        <w:div w:id="664169751">
          <w:marLeft w:val="1800"/>
          <w:marRight w:val="0"/>
          <w:marTop w:val="62"/>
          <w:marBottom w:val="0"/>
          <w:divBdr>
            <w:top w:val="none" w:sz="0" w:space="0" w:color="auto"/>
            <w:left w:val="none" w:sz="0" w:space="0" w:color="auto"/>
            <w:bottom w:val="none" w:sz="0" w:space="0" w:color="auto"/>
            <w:right w:val="none" w:sz="0" w:space="0" w:color="auto"/>
          </w:divBdr>
        </w:div>
        <w:div w:id="513542178">
          <w:marLeft w:val="547"/>
          <w:marRight w:val="0"/>
          <w:marTop w:val="86"/>
          <w:marBottom w:val="0"/>
          <w:divBdr>
            <w:top w:val="none" w:sz="0" w:space="0" w:color="auto"/>
            <w:left w:val="none" w:sz="0" w:space="0" w:color="auto"/>
            <w:bottom w:val="none" w:sz="0" w:space="0" w:color="auto"/>
            <w:right w:val="none" w:sz="0" w:space="0" w:color="auto"/>
          </w:divBdr>
        </w:div>
        <w:div w:id="254048848">
          <w:marLeft w:val="1166"/>
          <w:marRight w:val="0"/>
          <w:marTop w:val="72"/>
          <w:marBottom w:val="0"/>
          <w:divBdr>
            <w:top w:val="none" w:sz="0" w:space="0" w:color="auto"/>
            <w:left w:val="none" w:sz="0" w:space="0" w:color="auto"/>
            <w:bottom w:val="none" w:sz="0" w:space="0" w:color="auto"/>
            <w:right w:val="none" w:sz="0" w:space="0" w:color="auto"/>
          </w:divBdr>
        </w:div>
        <w:div w:id="1106266091">
          <w:marLeft w:val="1800"/>
          <w:marRight w:val="0"/>
          <w:marTop w:val="62"/>
          <w:marBottom w:val="0"/>
          <w:divBdr>
            <w:top w:val="none" w:sz="0" w:space="0" w:color="auto"/>
            <w:left w:val="none" w:sz="0" w:space="0" w:color="auto"/>
            <w:bottom w:val="none" w:sz="0" w:space="0" w:color="auto"/>
            <w:right w:val="none" w:sz="0" w:space="0" w:color="auto"/>
          </w:divBdr>
        </w:div>
        <w:div w:id="819884239">
          <w:marLeft w:val="1800"/>
          <w:marRight w:val="0"/>
          <w:marTop w:val="62"/>
          <w:marBottom w:val="0"/>
          <w:divBdr>
            <w:top w:val="none" w:sz="0" w:space="0" w:color="auto"/>
            <w:left w:val="none" w:sz="0" w:space="0" w:color="auto"/>
            <w:bottom w:val="none" w:sz="0" w:space="0" w:color="auto"/>
            <w:right w:val="none" w:sz="0" w:space="0" w:color="auto"/>
          </w:divBdr>
        </w:div>
        <w:div w:id="1085036364">
          <w:marLeft w:val="1800"/>
          <w:marRight w:val="0"/>
          <w:marTop w:val="62"/>
          <w:marBottom w:val="0"/>
          <w:divBdr>
            <w:top w:val="none" w:sz="0" w:space="0" w:color="auto"/>
            <w:left w:val="none" w:sz="0" w:space="0" w:color="auto"/>
            <w:bottom w:val="none" w:sz="0" w:space="0" w:color="auto"/>
            <w:right w:val="none" w:sz="0" w:space="0" w:color="auto"/>
          </w:divBdr>
        </w:div>
        <w:div w:id="984241519">
          <w:marLeft w:val="1800"/>
          <w:marRight w:val="0"/>
          <w:marTop w:val="62"/>
          <w:marBottom w:val="0"/>
          <w:divBdr>
            <w:top w:val="none" w:sz="0" w:space="0" w:color="auto"/>
            <w:left w:val="none" w:sz="0" w:space="0" w:color="auto"/>
            <w:bottom w:val="none" w:sz="0" w:space="0" w:color="auto"/>
            <w:right w:val="none" w:sz="0" w:space="0" w:color="auto"/>
          </w:divBdr>
        </w:div>
        <w:div w:id="815924528">
          <w:marLeft w:val="547"/>
          <w:marRight w:val="0"/>
          <w:marTop w:val="86"/>
          <w:marBottom w:val="0"/>
          <w:divBdr>
            <w:top w:val="none" w:sz="0" w:space="0" w:color="auto"/>
            <w:left w:val="none" w:sz="0" w:space="0" w:color="auto"/>
            <w:bottom w:val="none" w:sz="0" w:space="0" w:color="auto"/>
            <w:right w:val="none" w:sz="0" w:space="0" w:color="auto"/>
          </w:divBdr>
        </w:div>
      </w:divsChild>
    </w:div>
    <w:div w:id="510141963">
      <w:bodyDiv w:val="1"/>
      <w:marLeft w:val="0"/>
      <w:marRight w:val="0"/>
      <w:marTop w:val="0"/>
      <w:marBottom w:val="0"/>
      <w:divBdr>
        <w:top w:val="none" w:sz="0" w:space="0" w:color="auto"/>
        <w:left w:val="none" w:sz="0" w:space="0" w:color="auto"/>
        <w:bottom w:val="none" w:sz="0" w:space="0" w:color="auto"/>
        <w:right w:val="none" w:sz="0" w:space="0" w:color="auto"/>
      </w:divBdr>
    </w:div>
    <w:div w:id="571160546">
      <w:bodyDiv w:val="1"/>
      <w:marLeft w:val="0"/>
      <w:marRight w:val="0"/>
      <w:marTop w:val="0"/>
      <w:marBottom w:val="0"/>
      <w:divBdr>
        <w:top w:val="none" w:sz="0" w:space="0" w:color="auto"/>
        <w:left w:val="none" w:sz="0" w:space="0" w:color="auto"/>
        <w:bottom w:val="none" w:sz="0" w:space="0" w:color="auto"/>
        <w:right w:val="none" w:sz="0" w:space="0" w:color="auto"/>
      </w:divBdr>
    </w:div>
    <w:div w:id="590163296">
      <w:bodyDiv w:val="1"/>
      <w:marLeft w:val="0"/>
      <w:marRight w:val="0"/>
      <w:marTop w:val="0"/>
      <w:marBottom w:val="0"/>
      <w:divBdr>
        <w:top w:val="none" w:sz="0" w:space="0" w:color="auto"/>
        <w:left w:val="none" w:sz="0" w:space="0" w:color="auto"/>
        <w:bottom w:val="none" w:sz="0" w:space="0" w:color="auto"/>
        <w:right w:val="none" w:sz="0" w:space="0" w:color="auto"/>
      </w:divBdr>
    </w:div>
    <w:div w:id="596600503">
      <w:bodyDiv w:val="1"/>
      <w:marLeft w:val="0"/>
      <w:marRight w:val="0"/>
      <w:marTop w:val="0"/>
      <w:marBottom w:val="0"/>
      <w:divBdr>
        <w:top w:val="none" w:sz="0" w:space="0" w:color="auto"/>
        <w:left w:val="none" w:sz="0" w:space="0" w:color="auto"/>
        <w:bottom w:val="none" w:sz="0" w:space="0" w:color="auto"/>
        <w:right w:val="none" w:sz="0" w:space="0" w:color="auto"/>
      </w:divBdr>
    </w:div>
    <w:div w:id="633831119">
      <w:bodyDiv w:val="1"/>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2102137722">
              <w:marLeft w:val="0"/>
              <w:marRight w:val="0"/>
              <w:marTop w:val="0"/>
              <w:marBottom w:val="0"/>
              <w:divBdr>
                <w:top w:val="none" w:sz="0" w:space="0" w:color="auto"/>
                <w:left w:val="none" w:sz="0" w:space="0" w:color="auto"/>
                <w:bottom w:val="none" w:sz="0" w:space="0" w:color="auto"/>
                <w:right w:val="none" w:sz="0" w:space="0" w:color="auto"/>
              </w:divBdr>
              <w:divsChild>
                <w:div w:id="1441727308">
                  <w:marLeft w:val="0"/>
                  <w:marRight w:val="0"/>
                  <w:marTop w:val="0"/>
                  <w:marBottom w:val="0"/>
                  <w:divBdr>
                    <w:top w:val="none" w:sz="0" w:space="0" w:color="auto"/>
                    <w:left w:val="none" w:sz="0" w:space="0" w:color="auto"/>
                    <w:bottom w:val="none" w:sz="0" w:space="0" w:color="auto"/>
                    <w:right w:val="none" w:sz="0" w:space="0" w:color="auto"/>
                  </w:divBdr>
                  <w:divsChild>
                    <w:div w:id="990212016">
                      <w:marLeft w:val="0"/>
                      <w:marRight w:val="0"/>
                      <w:marTop w:val="0"/>
                      <w:marBottom w:val="0"/>
                      <w:divBdr>
                        <w:top w:val="none" w:sz="0" w:space="0" w:color="auto"/>
                        <w:left w:val="none" w:sz="0" w:space="0" w:color="auto"/>
                        <w:bottom w:val="none" w:sz="0" w:space="0" w:color="auto"/>
                        <w:right w:val="none" w:sz="0" w:space="0" w:color="auto"/>
                      </w:divBdr>
                      <w:divsChild>
                        <w:div w:id="1086196074">
                          <w:marLeft w:val="0"/>
                          <w:marRight w:val="0"/>
                          <w:marTop w:val="0"/>
                          <w:marBottom w:val="0"/>
                          <w:divBdr>
                            <w:top w:val="none" w:sz="0" w:space="0" w:color="auto"/>
                            <w:left w:val="none" w:sz="0" w:space="0" w:color="auto"/>
                            <w:bottom w:val="none" w:sz="0" w:space="0" w:color="auto"/>
                            <w:right w:val="none" w:sz="0" w:space="0" w:color="auto"/>
                          </w:divBdr>
                          <w:divsChild>
                            <w:div w:id="9449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0883">
      <w:bodyDiv w:val="1"/>
      <w:marLeft w:val="0"/>
      <w:marRight w:val="0"/>
      <w:marTop w:val="0"/>
      <w:marBottom w:val="0"/>
      <w:divBdr>
        <w:top w:val="none" w:sz="0" w:space="0" w:color="auto"/>
        <w:left w:val="none" w:sz="0" w:space="0" w:color="auto"/>
        <w:bottom w:val="none" w:sz="0" w:space="0" w:color="auto"/>
        <w:right w:val="none" w:sz="0" w:space="0" w:color="auto"/>
      </w:divBdr>
    </w:div>
    <w:div w:id="702637513">
      <w:bodyDiv w:val="1"/>
      <w:marLeft w:val="0"/>
      <w:marRight w:val="0"/>
      <w:marTop w:val="0"/>
      <w:marBottom w:val="0"/>
      <w:divBdr>
        <w:top w:val="none" w:sz="0" w:space="0" w:color="auto"/>
        <w:left w:val="none" w:sz="0" w:space="0" w:color="auto"/>
        <w:bottom w:val="none" w:sz="0" w:space="0" w:color="auto"/>
        <w:right w:val="none" w:sz="0" w:space="0" w:color="auto"/>
      </w:divBdr>
    </w:div>
    <w:div w:id="705569255">
      <w:bodyDiv w:val="1"/>
      <w:marLeft w:val="0"/>
      <w:marRight w:val="0"/>
      <w:marTop w:val="0"/>
      <w:marBottom w:val="0"/>
      <w:divBdr>
        <w:top w:val="none" w:sz="0" w:space="0" w:color="auto"/>
        <w:left w:val="none" w:sz="0" w:space="0" w:color="auto"/>
        <w:bottom w:val="none" w:sz="0" w:space="0" w:color="auto"/>
        <w:right w:val="none" w:sz="0" w:space="0" w:color="auto"/>
      </w:divBdr>
      <w:divsChild>
        <w:div w:id="841898846">
          <w:marLeft w:val="547"/>
          <w:marRight w:val="0"/>
          <w:marTop w:val="106"/>
          <w:marBottom w:val="0"/>
          <w:divBdr>
            <w:top w:val="none" w:sz="0" w:space="0" w:color="auto"/>
            <w:left w:val="none" w:sz="0" w:space="0" w:color="auto"/>
            <w:bottom w:val="none" w:sz="0" w:space="0" w:color="auto"/>
            <w:right w:val="none" w:sz="0" w:space="0" w:color="auto"/>
          </w:divBdr>
        </w:div>
        <w:div w:id="1518350310">
          <w:marLeft w:val="1166"/>
          <w:marRight w:val="0"/>
          <w:marTop w:val="96"/>
          <w:marBottom w:val="0"/>
          <w:divBdr>
            <w:top w:val="none" w:sz="0" w:space="0" w:color="auto"/>
            <w:left w:val="none" w:sz="0" w:space="0" w:color="auto"/>
            <w:bottom w:val="none" w:sz="0" w:space="0" w:color="auto"/>
            <w:right w:val="none" w:sz="0" w:space="0" w:color="auto"/>
          </w:divBdr>
        </w:div>
        <w:div w:id="187330823">
          <w:marLeft w:val="1166"/>
          <w:marRight w:val="0"/>
          <w:marTop w:val="96"/>
          <w:marBottom w:val="0"/>
          <w:divBdr>
            <w:top w:val="none" w:sz="0" w:space="0" w:color="auto"/>
            <w:left w:val="none" w:sz="0" w:space="0" w:color="auto"/>
            <w:bottom w:val="none" w:sz="0" w:space="0" w:color="auto"/>
            <w:right w:val="none" w:sz="0" w:space="0" w:color="auto"/>
          </w:divBdr>
        </w:div>
        <w:div w:id="1734087205">
          <w:marLeft w:val="1166"/>
          <w:marRight w:val="0"/>
          <w:marTop w:val="96"/>
          <w:marBottom w:val="0"/>
          <w:divBdr>
            <w:top w:val="none" w:sz="0" w:space="0" w:color="auto"/>
            <w:left w:val="none" w:sz="0" w:space="0" w:color="auto"/>
            <w:bottom w:val="none" w:sz="0" w:space="0" w:color="auto"/>
            <w:right w:val="none" w:sz="0" w:space="0" w:color="auto"/>
          </w:divBdr>
        </w:div>
        <w:div w:id="1228416189">
          <w:marLeft w:val="547"/>
          <w:marRight w:val="0"/>
          <w:marTop w:val="106"/>
          <w:marBottom w:val="0"/>
          <w:divBdr>
            <w:top w:val="none" w:sz="0" w:space="0" w:color="auto"/>
            <w:left w:val="none" w:sz="0" w:space="0" w:color="auto"/>
            <w:bottom w:val="none" w:sz="0" w:space="0" w:color="auto"/>
            <w:right w:val="none" w:sz="0" w:space="0" w:color="auto"/>
          </w:divBdr>
        </w:div>
        <w:div w:id="1875656035">
          <w:marLeft w:val="1166"/>
          <w:marRight w:val="0"/>
          <w:marTop w:val="96"/>
          <w:marBottom w:val="0"/>
          <w:divBdr>
            <w:top w:val="none" w:sz="0" w:space="0" w:color="auto"/>
            <w:left w:val="none" w:sz="0" w:space="0" w:color="auto"/>
            <w:bottom w:val="none" w:sz="0" w:space="0" w:color="auto"/>
            <w:right w:val="none" w:sz="0" w:space="0" w:color="auto"/>
          </w:divBdr>
        </w:div>
      </w:divsChild>
    </w:div>
    <w:div w:id="750392153">
      <w:bodyDiv w:val="1"/>
      <w:marLeft w:val="0"/>
      <w:marRight w:val="0"/>
      <w:marTop w:val="0"/>
      <w:marBottom w:val="0"/>
      <w:divBdr>
        <w:top w:val="none" w:sz="0" w:space="0" w:color="auto"/>
        <w:left w:val="none" w:sz="0" w:space="0" w:color="auto"/>
        <w:bottom w:val="none" w:sz="0" w:space="0" w:color="auto"/>
        <w:right w:val="none" w:sz="0" w:space="0" w:color="auto"/>
      </w:divBdr>
    </w:div>
    <w:div w:id="755784820">
      <w:bodyDiv w:val="1"/>
      <w:marLeft w:val="0"/>
      <w:marRight w:val="0"/>
      <w:marTop w:val="0"/>
      <w:marBottom w:val="0"/>
      <w:divBdr>
        <w:top w:val="none" w:sz="0" w:space="0" w:color="auto"/>
        <w:left w:val="none" w:sz="0" w:space="0" w:color="auto"/>
        <w:bottom w:val="none" w:sz="0" w:space="0" w:color="auto"/>
        <w:right w:val="none" w:sz="0" w:space="0" w:color="auto"/>
      </w:divBdr>
    </w:div>
    <w:div w:id="805125193">
      <w:bodyDiv w:val="1"/>
      <w:marLeft w:val="0"/>
      <w:marRight w:val="0"/>
      <w:marTop w:val="0"/>
      <w:marBottom w:val="0"/>
      <w:divBdr>
        <w:top w:val="none" w:sz="0" w:space="0" w:color="auto"/>
        <w:left w:val="none" w:sz="0" w:space="0" w:color="auto"/>
        <w:bottom w:val="none" w:sz="0" w:space="0" w:color="auto"/>
        <w:right w:val="none" w:sz="0" w:space="0" w:color="auto"/>
      </w:divBdr>
    </w:div>
    <w:div w:id="886526587">
      <w:bodyDiv w:val="1"/>
      <w:marLeft w:val="0"/>
      <w:marRight w:val="0"/>
      <w:marTop w:val="0"/>
      <w:marBottom w:val="0"/>
      <w:divBdr>
        <w:top w:val="none" w:sz="0" w:space="0" w:color="auto"/>
        <w:left w:val="none" w:sz="0" w:space="0" w:color="auto"/>
        <w:bottom w:val="none" w:sz="0" w:space="0" w:color="auto"/>
        <w:right w:val="none" w:sz="0" w:space="0" w:color="auto"/>
      </w:divBdr>
    </w:div>
    <w:div w:id="907157624">
      <w:bodyDiv w:val="1"/>
      <w:marLeft w:val="0"/>
      <w:marRight w:val="0"/>
      <w:marTop w:val="0"/>
      <w:marBottom w:val="0"/>
      <w:divBdr>
        <w:top w:val="none" w:sz="0" w:space="0" w:color="auto"/>
        <w:left w:val="none" w:sz="0" w:space="0" w:color="auto"/>
        <w:bottom w:val="none" w:sz="0" w:space="0" w:color="auto"/>
        <w:right w:val="none" w:sz="0" w:space="0" w:color="auto"/>
      </w:divBdr>
    </w:div>
    <w:div w:id="998658006">
      <w:bodyDiv w:val="1"/>
      <w:marLeft w:val="0"/>
      <w:marRight w:val="0"/>
      <w:marTop w:val="0"/>
      <w:marBottom w:val="0"/>
      <w:divBdr>
        <w:top w:val="none" w:sz="0" w:space="0" w:color="auto"/>
        <w:left w:val="none" w:sz="0" w:space="0" w:color="auto"/>
        <w:bottom w:val="none" w:sz="0" w:space="0" w:color="auto"/>
        <w:right w:val="none" w:sz="0" w:space="0" w:color="auto"/>
      </w:divBdr>
      <w:divsChild>
        <w:div w:id="1978753412">
          <w:marLeft w:val="0"/>
          <w:marRight w:val="0"/>
          <w:marTop w:val="0"/>
          <w:marBottom w:val="0"/>
          <w:divBdr>
            <w:top w:val="none" w:sz="0" w:space="0" w:color="auto"/>
            <w:left w:val="none" w:sz="0" w:space="0" w:color="auto"/>
            <w:bottom w:val="none" w:sz="0" w:space="0" w:color="auto"/>
            <w:right w:val="none" w:sz="0" w:space="0" w:color="auto"/>
          </w:divBdr>
          <w:divsChild>
            <w:div w:id="2012828711">
              <w:marLeft w:val="0"/>
              <w:marRight w:val="0"/>
              <w:marTop w:val="0"/>
              <w:marBottom w:val="0"/>
              <w:divBdr>
                <w:top w:val="none" w:sz="0" w:space="0" w:color="auto"/>
                <w:left w:val="none" w:sz="0" w:space="0" w:color="auto"/>
                <w:bottom w:val="none" w:sz="0" w:space="0" w:color="auto"/>
                <w:right w:val="none" w:sz="0" w:space="0" w:color="auto"/>
              </w:divBdr>
              <w:divsChild>
                <w:div w:id="1192380327">
                  <w:marLeft w:val="0"/>
                  <w:marRight w:val="0"/>
                  <w:marTop w:val="0"/>
                  <w:marBottom w:val="0"/>
                  <w:divBdr>
                    <w:top w:val="none" w:sz="0" w:space="0" w:color="auto"/>
                    <w:left w:val="none" w:sz="0" w:space="0" w:color="auto"/>
                    <w:bottom w:val="none" w:sz="0" w:space="0" w:color="auto"/>
                    <w:right w:val="none" w:sz="0" w:space="0" w:color="auto"/>
                  </w:divBdr>
                  <w:divsChild>
                    <w:div w:id="798569951">
                      <w:marLeft w:val="0"/>
                      <w:marRight w:val="0"/>
                      <w:marTop w:val="0"/>
                      <w:marBottom w:val="0"/>
                      <w:divBdr>
                        <w:top w:val="none" w:sz="0" w:space="0" w:color="auto"/>
                        <w:left w:val="none" w:sz="0" w:space="0" w:color="auto"/>
                        <w:bottom w:val="none" w:sz="0" w:space="0" w:color="auto"/>
                        <w:right w:val="none" w:sz="0" w:space="0" w:color="auto"/>
                      </w:divBdr>
                      <w:divsChild>
                        <w:div w:id="2068525544">
                          <w:marLeft w:val="0"/>
                          <w:marRight w:val="0"/>
                          <w:marTop w:val="0"/>
                          <w:marBottom w:val="0"/>
                          <w:divBdr>
                            <w:top w:val="none" w:sz="0" w:space="0" w:color="auto"/>
                            <w:left w:val="none" w:sz="0" w:space="0" w:color="auto"/>
                            <w:bottom w:val="none" w:sz="0" w:space="0" w:color="auto"/>
                            <w:right w:val="none" w:sz="0" w:space="0" w:color="auto"/>
                          </w:divBdr>
                          <w:divsChild>
                            <w:div w:id="15800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6247">
      <w:bodyDiv w:val="1"/>
      <w:marLeft w:val="0"/>
      <w:marRight w:val="0"/>
      <w:marTop w:val="0"/>
      <w:marBottom w:val="0"/>
      <w:divBdr>
        <w:top w:val="none" w:sz="0" w:space="0" w:color="auto"/>
        <w:left w:val="none" w:sz="0" w:space="0" w:color="auto"/>
        <w:bottom w:val="none" w:sz="0" w:space="0" w:color="auto"/>
        <w:right w:val="none" w:sz="0" w:space="0" w:color="auto"/>
      </w:divBdr>
    </w:div>
    <w:div w:id="1208449746">
      <w:bodyDiv w:val="1"/>
      <w:marLeft w:val="0"/>
      <w:marRight w:val="0"/>
      <w:marTop w:val="0"/>
      <w:marBottom w:val="0"/>
      <w:divBdr>
        <w:top w:val="none" w:sz="0" w:space="0" w:color="auto"/>
        <w:left w:val="none" w:sz="0" w:space="0" w:color="auto"/>
        <w:bottom w:val="none" w:sz="0" w:space="0" w:color="auto"/>
        <w:right w:val="none" w:sz="0" w:space="0" w:color="auto"/>
      </w:divBdr>
    </w:div>
    <w:div w:id="1215316534">
      <w:bodyDiv w:val="1"/>
      <w:marLeft w:val="0"/>
      <w:marRight w:val="0"/>
      <w:marTop w:val="0"/>
      <w:marBottom w:val="0"/>
      <w:divBdr>
        <w:top w:val="none" w:sz="0" w:space="0" w:color="auto"/>
        <w:left w:val="none" w:sz="0" w:space="0" w:color="auto"/>
        <w:bottom w:val="none" w:sz="0" w:space="0" w:color="auto"/>
        <w:right w:val="none" w:sz="0" w:space="0" w:color="auto"/>
      </w:divBdr>
    </w:div>
    <w:div w:id="1301375116">
      <w:bodyDiv w:val="1"/>
      <w:marLeft w:val="0"/>
      <w:marRight w:val="0"/>
      <w:marTop w:val="0"/>
      <w:marBottom w:val="0"/>
      <w:divBdr>
        <w:top w:val="none" w:sz="0" w:space="0" w:color="auto"/>
        <w:left w:val="none" w:sz="0" w:space="0" w:color="auto"/>
        <w:bottom w:val="none" w:sz="0" w:space="0" w:color="auto"/>
        <w:right w:val="none" w:sz="0" w:space="0" w:color="auto"/>
      </w:divBdr>
    </w:div>
    <w:div w:id="1335307314">
      <w:bodyDiv w:val="1"/>
      <w:marLeft w:val="0"/>
      <w:marRight w:val="0"/>
      <w:marTop w:val="0"/>
      <w:marBottom w:val="0"/>
      <w:divBdr>
        <w:top w:val="none" w:sz="0" w:space="0" w:color="auto"/>
        <w:left w:val="none" w:sz="0" w:space="0" w:color="auto"/>
        <w:bottom w:val="none" w:sz="0" w:space="0" w:color="auto"/>
        <w:right w:val="none" w:sz="0" w:space="0" w:color="auto"/>
      </w:divBdr>
    </w:div>
    <w:div w:id="1349286141">
      <w:bodyDiv w:val="1"/>
      <w:marLeft w:val="0"/>
      <w:marRight w:val="0"/>
      <w:marTop w:val="0"/>
      <w:marBottom w:val="0"/>
      <w:divBdr>
        <w:top w:val="none" w:sz="0" w:space="0" w:color="auto"/>
        <w:left w:val="none" w:sz="0" w:space="0" w:color="auto"/>
        <w:bottom w:val="none" w:sz="0" w:space="0" w:color="auto"/>
        <w:right w:val="none" w:sz="0" w:space="0" w:color="auto"/>
      </w:divBdr>
    </w:div>
    <w:div w:id="1356809419">
      <w:bodyDiv w:val="1"/>
      <w:marLeft w:val="0"/>
      <w:marRight w:val="0"/>
      <w:marTop w:val="0"/>
      <w:marBottom w:val="0"/>
      <w:divBdr>
        <w:top w:val="none" w:sz="0" w:space="0" w:color="auto"/>
        <w:left w:val="none" w:sz="0" w:space="0" w:color="auto"/>
        <w:bottom w:val="none" w:sz="0" w:space="0" w:color="auto"/>
        <w:right w:val="none" w:sz="0" w:space="0" w:color="auto"/>
      </w:divBdr>
    </w:div>
    <w:div w:id="1431662588">
      <w:bodyDiv w:val="1"/>
      <w:marLeft w:val="0"/>
      <w:marRight w:val="0"/>
      <w:marTop w:val="0"/>
      <w:marBottom w:val="0"/>
      <w:divBdr>
        <w:top w:val="none" w:sz="0" w:space="0" w:color="auto"/>
        <w:left w:val="none" w:sz="0" w:space="0" w:color="auto"/>
        <w:bottom w:val="none" w:sz="0" w:space="0" w:color="auto"/>
        <w:right w:val="none" w:sz="0" w:space="0" w:color="auto"/>
      </w:divBdr>
    </w:div>
    <w:div w:id="1465583132">
      <w:bodyDiv w:val="1"/>
      <w:marLeft w:val="0"/>
      <w:marRight w:val="0"/>
      <w:marTop w:val="0"/>
      <w:marBottom w:val="0"/>
      <w:divBdr>
        <w:top w:val="none" w:sz="0" w:space="0" w:color="auto"/>
        <w:left w:val="none" w:sz="0" w:space="0" w:color="auto"/>
        <w:bottom w:val="none" w:sz="0" w:space="0" w:color="auto"/>
        <w:right w:val="none" w:sz="0" w:space="0" w:color="auto"/>
      </w:divBdr>
    </w:div>
    <w:div w:id="1494682321">
      <w:bodyDiv w:val="1"/>
      <w:marLeft w:val="0"/>
      <w:marRight w:val="0"/>
      <w:marTop w:val="0"/>
      <w:marBottom w:val="0"/>
      <w:divBdr>
        <w:top w:val="none" w:sz="0" w:space="0" w:color="auto"/>
        <w:left w:val="none" w:sz="0" w:space="0" w:color="auto"/>
        <w:bottom w:val="none" w:sz="0" w:space="0" w:color="auto"/>
        <w:right w:val="none" w:sz="0" w:space="0" w:color="auto"/>
      </w:divBdr>
      <w:divsChild>
        <w:div w:id="1902011247">
          <w:marLeft w:val="547"/>
          <w:marRight w:val="0"/>
          <w:marTop w:val="77"/>
          <w:marBottom w:val="0"/>
          <w:divBdr>
            <w:top w:val="none" w:sz="0" w:space="0" w:color="auto"/>
            <w:left w:val="none" w:sz="0" w:space="0" w:color="auto"/>
            <w:bottom w:val="none" w:sz="0" w:space="0" w:color="auto"/>
            <w:right w:val="none" w:sz="0" w:space="0" w:color="auto"/>
          </w:divBdr>
        </w:div>
        <w:div w:id="1119642640">
          <w:marLeft w:val="547"/>
          <w:marRight w:val="0"/>
          <w:marTop w:val="77"/>
          <w:marBottom w:val="0"/>
          <w:divBdr>
            <w:top w:val="none" w:sz="0" w:space="0" w:color="auto"/>
            <w:left w:val="none" w:sz="0" w:space="0" w:color="auto"/>
            <w:bottom w:val="none" w:sz="0" w:space="0" w:color="auto"/>
            <w:right w:val="none" w:sz="0" w:space="0" w:color="auto"/>
          </w:divBdr>
        </w:div>
        <w:div w:id="1611812041">
          <w:marLeft w:val="547"/>
          <w:marRight w:val="0"/>
          <w:marTop w:val="77"/>
          <w:marBottom w:val="0"/>
          <w:divBdr>
            <w:top w:val="none" w:sz="0" w:space="0" w:color="auto"/>
            <w:left w:val="none" w:sz="0" w:space="0" w:color="auto"/>
            <w:bottom w:val="none" w:sz="0" w:space="0" w:color="auto"/>
            <w:right w:val="none" w:sz="0" w:space="0" w:color="auto"/>
          </w:divBdr>
        </w:div>
      </w:divsChild>
    </w:div>
    <w:div w:id="1573587553">
      <w:bodyDiv w:val="1"/>
      <w:marLeft w:val="0"/>
      <w:marRight w:val="0"/>
      <w:marTop w:val="0"/>
      <w:marBottom w:val="0"/>
      <w:divBdr>
        <w:top w:val="none" w:sz="0" w:space="0" w:color="auto"/>
        <w:left w:val="none" w:sz="0" w:space="0" w:color="auto"/>
        <w:bottom w:val="none" w:sz="0" w:space="0" w:color="auto"/>
        <w:right w:val="none" w:sz="0" w:space="0" w:color="auto"/>
      </w:divBdr>
    </w:div>
    <w:div w:id="1608659126">
      <w:bodyDiv w:val="1"/>
      <w:marLeft w:val="0"/>
      <w:marRight w:val="0"/>
      <w:marTop w:val="0"/>
      <w:marBottom w:val="0"/>
      <w:divBdr>
        <w:top w:val="none" w:sz="0" w:space="0" w:color="auto"/>
        <w:left w:val="none" w:sz="0" w:space="0" w:color="auto"/>
        <w:bottom w:val="none" w:sz="0" w:space="0" w:color="auto"/>
        <w:right w:val="none" w:sz="0" w:space="0" w:color="auto"/>
      </w:divBdr>
      <w:divsChild>
        <w:div w:id="108820542">
          <w:marLeft w:val="547"/>
          <w:marRight w:val="0"/>
          <w:marTop w:val="106"/>
          <w:marBottom w:val="0"/>
          <w:divBdr>
            <w:top w:val="none" w:sz="0" w:space="0" w:color="auto"/>
            <w:left w:val="none" w:sz="0" w:space="0" w:color="auto"/>
            <w:bottom w:val="none" w:sz="0" w:space="0" w:color="auto"/>
            <w:right w:val="none" w:sz="0" w:space="0" w:color="auto"/>
          </w:divBdr>
        </w:div>
        <w:div w:id="537860881">
          <w:marLeft w:val="547"/>
          <w:marRight w:val="0"/>
          <w:marTop w:val="106"/>
          <w:marBottom w:val="0"/>
          <w:divBdr>
            <w:top w:val="none" w:sz="0" w:space="0" w:color="auto"/>
            <w:left w:val="none" w:sz="0" w:space="0" w:color="auto"/>
            <w:bottom w:val="none" w:sz="0" w:space="0" w:color="auto"/>
            <w:right w:val="none" w:sz="0" w:space="0" w:color="auto"/>
          </w:divBdr>
        </w:div>
      </w:divsChild>
    </w:div>
    <w:div w:id="1612395392">
      <w:bodyDiv w:val="1"/>
      <w:marLeft w:val="0"/>
      <w:marRight w:val="0"/>
      <w:marTop w:val="0"/>
      <w:marBottom w:val="0"/>
      <w:divBdr>
        <w:top w:val="none" w:sz="0" w:space="0" w:color="auto"/>
        <w:left w:val="none" w:sz="0" w:space="0" w:color="auto"/>
        <w:bottom w:val="none" w:sz="0" w:space="0" w:color="auto"/>
        <w:right w:val="none" w:sz="0" w:space="0" w:color="auto"/>
      </w:divBdr>
    </w:div>
    <w:div w:id="1628508636">
      <w:bodyDiv w:val="1"/>
      <w:marLeft w:val="0"/>
      <w:marRight w:val="0"/>
      <w:marTop w:val="0"/>
      <w:marBottom w:val="0"/>
      <w:divBdr>
        <w:top w:val="none" w:sz="0" w:space="0" w:color="auto"/>
        <w:left w:val="none" w:sz="0" w:space="0" w:color="auto"/>
        <w:bottom w:val="none" w:sz="0" w:space="0" w:color="auto"/>
        <w:right w:val="none" w:sz="0" w:space="0" w:color="auto"/>
      </w:divBdr>
    </w:div>
    <w:div w:id="1633553583">
      <w:bodyDiv w:val="1"/>
      <w:marLeft w:val="0"/>
      <w:marRight w:val="0"/>
      <w:marTop w:val="0"/>
      <w:marBottom w:val="0"/>
      <w:divBdr>
        <w:top w:val="none" w:sz="0" w:space="0" w:color="auto"/>
        <w:left w:val="none" w:sz="0" w:space="0" w:color="auto"/>
        <w:bottom w:val="none" w:sz="0" w:space="0" w:color="auto"/>
        <w:right w:val="none" w:sz="0" w:space="0" w:color="auto"/>
      </w:divBdr>
    </w:div>
    <w:div w:id="1642273531">
      <w:bodyDiv w:val="1"/>
      <w:marLeft w:val="0"/>
      <w:marRight w:val="0"/>
      <w:marTop w:val="0"/>
      <w:marBottom w:val="0"/>
      <w:divBdr>
        <w:top w:val="none" w:sz="0" w:space="0" w:color="auto"/>
        <w:left w:val="none" w:sz="0" w:space="0" w:color="auto"/>
        <w:bottom w:val="none" w:sz="0" w:space="0" w:color="auto"/>
        <w:right w:val="none" w:sz="0" w:space="0" w:color="auto"/>
      </w:divBdr>
    </w:div>
    <w:div w:id="1823497779">
      <w:bodyDiv w:val="1"/>
      <w:marLeft w:val="0"/>
      <w:marRight w:val="0"/>
      <w:marTop w:val="0"/>
      <w:marBottom w:val="0"/>
      <w:divBdr>
        <w:top w:val="none" w:sz="0" w:space="0" w:color="auto"/>
        <w:left w:val="none" w:sz="0" w:space="0" w:color="auto"/>
        <w:bottom w:val="none" w:sz="0" w:space="0" w:color="auto"/>
        <w:right w:val="none" w:sz="0" w:space="0" w:color="auto"/>
      </w:divBdr>
    </w:div>
    <w:div w:id="1830752757">
      <w:bodyDiv w:val="1"/>
      <w:marLeft w:val="0"/>
      <w:marRight w:val="0"/>
      <w:marTop w:val="0"/>
      <w:marBottom w:val="0"/>
      <w:divBdr>
        <w:top w:val="none" w:sz="0" w:space="0" w:color="auto"/>
        <w:left w:val="none" w:sz="0" w:space="0" w:color="auto"/>
        <w:bottom w:val="none" w:sz="0" w:space="0" w:color="auto"/>
        <w:right w:val="none" w:sz="0" w:space="0" w:color="auto"/>
      </w:divBdr>
    </w:div>
    <w:div w:id="1876313316">
      <w:bodyDiv w:val="1"/>
      <w:marLeft w:val="0"/>
      <w:marRight w:val="0"/>
      <w:marTop w:val="0"/>
      <w:marBottom w:val="0"/>
      <w:divBdr>
        <w:top w:val="none" w:sz="0" w:space="0" w:color="auto"/>
        <w:left w:val="none" w:sz="0" w:space="0" w:color="auto"/>
        <w:bottom w:val="none" w:sz="0" w:space="0" w:color="auto"/>
        <w:right w:val="none" w:sz="0" w:space="0" w:color="auto"/>
      </w:divBdr>
    </w:div>
    <w:div w:id="1895117376">
      <w:bodyDiv w:val="1"/>
      <w:marLeft w:val="0"/>
      <w:marRight w:val="0"/>
      <w:marTop w:val="0"/>
      <w:marBottom w:val="0"/>
      <w:divBdr>
        <w:top w:val="none" w:sz="0" w:space="0" w:color="auto"/>
        <w:left w:val="none" w:sz="0" w:space="0" w:color="auto"/>
        <w:bottom w:val="none" w:sz="0" w:space="0" w:color="auto"/>
        <w:right w:val="none" w:sz="0" w:space="0" w:color="auto"/>
      </w:divBdr>
    </w:div>
    <w:div w:id="1914924190">
      <w:bodyDiv w:val="1"/>
      <w:marLeft w:val="0"/>
      <w:marRight w:val="0"/>
      <w:marTop w:val="0"/>
      <w:marBottom w:val="0"/>
      <w:divBdr>
        <w:top w:val="none" w:sz="0" w:space="0" w:color="auto"/>
        <w:left w:val="none" w:sz="0" w:space="0" w:color="auto"/>
        <w:bottom w:val="none" w:sz="0" w:space="0" w:color="auto"/>
        <w:right w:val="none" w:sz="0" w:space="0" w:color="auto"/>
      </w:divBdr>
    </w:div>
    <w:div w:id="1926573437">
      <w:bodyDiv w:val="1"/>
      <w:marLeft w:val="0"/>
      <w:marRight w:val="0"/>
      <w:marTop w:val="0"/>
      <w:marBottom w:val="0"/>
      <w:divBdr>
        <w:top w:val="none" w:sz="0" w:space="0" w:color="auto"/>
        <w:left w:val="none" w:sz="0" w:space="0" w:color="auto"/>
        <w:bottom w:val="none" w:sz="0" w:space="0" w:color="auto"/>
        <w:right w:val="none" w:sz="0" w:space="0" w:color="auto"/>
      </w:divBdr>
    </w:div>
    <w:div w:id="1983386863">
      <w:bodyDiv w:val="1"/>
      <w:marLeft w:val="0"/>
      <w:marRight w:val="0"/>
      <w:marTop w:val="0"/>
      <w:marBottom w:val="0"/>
      <w:divBdr>
        <w:top w:val="none" w:sz="0" w:space="0" w:color="auto"/>
        <w:left w:val="none" w:sz="0" w:space="0" w:color="auto"/>
        <w:bottom w:val="none" w:sz="0" w:space="0" w:color="auto"/>
        <w:right w:val="none" w:sz="0" w:space="0" w:color="auto"/>
      </w:divBdr>
      <w:divsChild>
        <w:div w:id="1212614276">
          <w:marLeft w:val="0"/>
          <w:marRight w:val="0"/>
          <w:marTop w:val="0"/>
          <w:marBottom w:val="0"/>
          <w:divBdr>
            <w:top w:val="none" w:sz="0" w:space="0" w:color="auto"/>
            <w:left w:val="none" w:sz="0" w:space="0" w:color="auto"/>
            <w:bottom w:val="none" w:sz="0" w:space="0" w:color="auto"/>
            <w:right w:val="none" w:sz="0" w:space="0" w:color="auto"/>
          </w:divBdr>
          <w:divsChild>
            <w:div w:id="1647271808">
              <w:marLeft w:val="0"/>
              <w:marRight w:val="0"/>
              <w:marTop w:val="0"/>
              <w:marBottom w:val="0"/>
              <w:divBdr>
                <w:top w:val="none" w:sz="0" w:space="0" w:color="auto"/>
                <w:left w:val="none" w:sz="0" w:space="0" w:color="auto"/>
                <w:bottom w:val="none" w:sz="0" w:space="0" w:color="auto"/>
                <w:right w:val="none" w:sz="0" w:space="0" w:color="auto"/>
              </w:divBdr>
              <w:divsChild>
                <w:div w:id="1865286378">
                  <w:marLeft w:val="0"/>
                  <w:marRight w:val="0"/>
                  <w:marTop w:val="0"/>
                  <w:marBottom w:val="0"/>
                  <w:divBdr>
                    <w:top w:val="none" w:sz="0" w:space="0" w:color="auto"/>
                    <w:left w:val="none" w:sz="0" w:space="0" w:color="auto"/>
                    <w:bottom w:val="none" w:sz="0" w:space="0" w:color="auto"/>
                    <w:right w:val="none" w:sz="0" w:space="0" w:color="auto"/>
                  </w:divBdr>
                  <w:divsChild>
                    <w:div w:id="182867533">
                      <w:marLeft w:val="0"/>
                      <w:marRight w:val="0"/>
                      <w:marTop w:val="255"/>
                      <w:marBottom w:val="0"/>
                      <w:divBdr>
                        <w:top w:val="none" w:sz="0" w:space="0" w:color="auto"/>
                        <w:left w:val="none" w:sz="0" w:space="0" w:color="auto"/>
                        <w:bottom w:val="none" w:sz="0" w:space="0" w:color="auto"/>
                        <w:right w:val="none" w:sz="0" w:space="0" w:color="auto"/>
                      </w:divBdr>
                      <w:divsChild>
                        <w:div w:id="1924797598">
                          <w:marLeft w:val="0"/>
                          <w:marRight w:val="0"/>
                          <w:marTop w:val="255"/>
                          <w:marBottom w:val="0"/>
                          <w:divBdr>
                            <w:top w:val="none" w:sz="0" w:space="0" w:color="auto"/>
                            <w:left w:val="none" w:sz="0" w:space="0" w:color="auto"/>
                            <w:bottom w:val="none" w:sz="0" w:space="0" w:color="auto"/>
                            <w:right w:val="none" w:sz="0" w:space="0" w:color="auto"/>
                          </w:divBdr>
                          <w:divsChild>
                            <w:div w:id="655034415">
                              <w:marLeft w:val="0"/>
                              <w:marRight w:val="0"/>
                              <w:marTop w:val="0"/>
                              <w:marBottom w:val="0"/>
                              <w:divBdr>
                                <w:top w:val="none" w:sz="0" w:space="0" w:color="auto"/>
                                <w:left w:val="none" w:sz="0" w:space="0" w:color="auto"/>
                                <w:bottom w:val="none" w:sz="0" w:space="0" w:color="auto"/>
                                <w:right w:val="none" w:sz="0" w:space="0" w:color="auto"/>
                              </w:divBdr>
                              <w:divsChild>
                                <w:div w:id="8257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ec.europa.eu/environment/eussd/smgp/product_footprint.htm" TargetMode="External"/><Relationship Id="rId21" Type="http://schemas.openxmlformats.org/officeDocument/2006/relationships/hyperlink" Target="http://ec.europa.eu/environment/waste/rohs_eee/events_rohs3_en.htm" TargetMode="External"/><Relationship Id="rId34" Type="http://schemas.openxmlformats.org/officeDocument/2006/relationships/hyperlink" Target="http://ec.europa.eu/prelex/apcnet.cfm?C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enterprise/sectors/pressure-and-gas/documents/ped/" TargetMode="External"/><Relationship Id="rId25" Type="http://schemas.openxmlformats.org/officeDocument/2006/relationships/hyperlink" Target="http://europa.eu/legislation_summaries/environment/waste_management/ev0010_en.htm"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enterprise/sectors/electrical/documents/emc/legislation/" TargetMode="External"/><Relationship Id="rId20" Type="http://schemas.openxmlformats.org/officeDocument/2006/relationships/hyperlink" Target="http://ec.europa.eu/environment/waste/weee/events_weee_en.htm" TargetMode="External"/><Relationship Id="rId29" Type="http://schemas.openxmlformats.org/officeDocument/2006/relationships/hyperlink" Target="http://ec.europa.eu/environment/eussd/smgp/pdf/Guidance_organisations_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ortalreach.info/glosario-terminos/Title/Q0U=/Referer/L3JlYWNoLw==/" TargetMode="External"/><Relationship Id="rId32" Type="http://schemas.openxmlformats.org/officeDocument/2006/relationships/hyperlink" Target="http://ec.europa.eu/enterprise/sectors/pressure-and-gas/documents/spv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c.europa.eu/enterprise/sectors/mechanical/documents/legislation/machinery/" TargetMode="External"/><Relationship Id="rId23" Type="http://schemas.openxmlformats.org/officeDocument/2006/relationships/hyperlink" Target="http://echa.europa.eu/es/regulations/reach" TargetMode="External"/><Relationship Id="rId28" Type="http://schemas.openxmlformats.org/officeDocument/2006/relationships/hyperlink" Target="http://ec.europa.eu/environment/eussd/smgp/pdf/Guidance_products_3.0.pdf" TargetMode="External"/><Relationship Id="rId36" Type="http://schemas.openxmlformats.org/officeDocument/2006/relationships/hyperlink" Target="http://www.f2i2.net/legislacionseguridadindustrial/LegislacionComunitaria.aspx" TargetMode="External"/><Relationship Id="rId10" Type="http://schemas.openxmlformats.org/officeDocument/2006/relationships/endnotes" Target="endnotes.xml"/><Relationship Id="rId19" Type="http://schemas.openxmlformats.org/officeDocument/2006/relationships/package" Target="embeddings/Microsoft_PowerPoint_Presentation1.pptx"/><Relationship Id="rId31" Type="http://schemas.openxmlformats.org/officeDocument/2006/relationships/hyperlink" Target="http://www.energylabelevaluation.eu/e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cnirp.de" TargetMode="External"/><Relationship Id="rId27" Type="http://schemas.openxmlformats.org/officeDocument/2006/relationships/hyperlink" Target="http://ec.europa.eu/environment/eussd/smgp/organisation_footprint.htm" TargetMode="External"/><Relationship Id="rId30" Type="http://schemas.openxmlformats.org/officeDocument/2006/relationships/hyperlink" Target="http://ec.europa.eu/energy/efficiency/labelling/labelling_en.htm" TargetMode="External"/><Relationship Id="rId35" Type="http://schemas.openxmlformats.org/officeDocument/2006/relationships/hyperlink" Target="http://eur-lex.europa.eu/es/index.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EA8A4E71AFB46A6DE62B402CFA34C" ma:contentTypeVersion="1" ma:contentTypeDescription="Create a new document." ma:contentTypeScope="" ma:versionID="253f2598d37eb9368f5e2997566d4fc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243F-2A9C-458B-A3A1-A61E6C9E262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71B6DAB-9F5C-4AC6-852E-C17352DA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C5FACC-4ABA-462E-9A55-BE62487D0A48}">
  <ds:schemaRefs>
    <ds:schemaRef ds:uri="http://schemas.microsoft.com/sharepoint/v3/contenttype/forms"/>
  </ds:schemaRefs>
</ds:datastoreItem>
</file>

<file path=customXml/itemProps4.xml><?xml version="1.0" encoding="utf-8"?>
<ds:datastoreItem xmlns:ds="http://schemas.openxmlformats.org/officeDocument/2006/customXml" ds:itemID="{1A5AA6ED-1DED-48B2-9172-5B8E2C8E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11454</Words>
  <Characters>63000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AÑO:</vt:lpstr>
    </vt:vector>
  </TitlesOfParts>
  <Company>GOSA</Company>
  <LinksUpToDate>false</LinksUpToDate>
  <CharactersWithSpaces>74306</CharactersWithSpaces>
  <SharedDoc>false</SharedDoc>
  <HLinks>
    <vt:vector size="312" baseType="variant">
      <vt:variant>
        <vt:i4>3211367</vt:i4>
      </vt:variant>
      <vt:variant>
        <vt:i4>420</vt:i4>
      </vt:variant>
      <vt:variant>
        <vt:i4>0</vt:i4>
      </vt:variant>
      <vt:variant>
        <vt:i4>5</vt:i4>
      </vt:variant>
      <vt:variant>
        <vt:lpwstr>http://europa.eu/scadplus/leg/en/lvb/l32004.htm</vt:lpwstr>
      </vt:variant>
      <vt:variant>
        <vt:lpwstr/>
      </vt:variant>
      <vt:variant>
        <vt:i4>5242901</vt:i4>
      </vt:variant>
      <vt:variant>
        <vt:i4>417</vt:i4>
      </vt:variant>
      <vt:variant>
        <vt:i4>0</vt:i4>
      </vt:variant>
      <vt:variant>
        <vt:i4>5</vt:i4>
      </vt:variant>
      <vt:variant>
        <vt:lpwstr>http://eur-lex.europa.eu/LexUriServ/LexUriServ.do?uri=OJ:L:2010:153:0001:0012:EN:PDF</vt:lpwstr>
      </vt:variant>
      <vt:variant>
        <vt:lpwstr/>
      </vt:variant>
      <vt:variant>
        <vt:i4>7602249</vt:i4>
      </vt:variant>
      <vt:variant>
        <vt:i4>414</vt:i4>
      </vt:variant>
      <vt:variant>
        <vt:i4>0</vt:i4>
      </vt:variant>
      <vt:variant>
        <vt:i4>5</vt:i4>
      </vt:variant>
      <vt:variant>
        <vt:lpwstr>http://ec.europa.eu/enterprise/mechan_equipment/noise/legisl.htm</vt:lpwstr>
      </vt:variant>
      <vt:variant>
        <vt:lpwstr/>
      </vt:variant>
      <vt:variant>
        <vt:i4>5570644</vt:i4>
      </vt:variant>
      <vt:variant>
        <vt:i4>411</vt:i4>
      </vt:variant>
      <vt:variant>
        <vt:i4>0</vt:i4>
      </vt:variant>
      <vt:variant>
        <vt:i4>5</vt:i4>
      </vt:variant>
      <vt:variant>
        <vt:lpwstr>http://eur-lex.europa.eu/LexUriServ/site/en/oj/2006/l_157/l_15720060609en00240086.pdf</vt:lpwstr>
      </vt:variant>
      <vt:variant>
        <vt:lpwstr/>
      </vt:variant>
      <vt:variant>
        <vt:i4>983154</vt:i4>
      </vt:variant>
      <vt:variant>
        <vt:i4>408</vt:i4>
      </vt:variant>
      <vt:variant>
        <vt:i4>0</vt:i4>
      </vt:variant>
      <vt:variant>
        <vt:i4>5</vt:i4>
      </vt:variant>
      <vt:variant>
        <vt:lpwstr>http://ec.europa.eu/enterprise/sectors/mechanical/files/machinery/guide_application_directive_2006-42-ec-1st_edit__12-2009_en.pdf</vt:lpwstr>
      </vt:variant>
      <vt:variant>
        <vt:lpwstr/>
      </vt:variant>
      <vt:variant>
        <vt:i4>6225951</vt:i4>
      </vt:variant>
      <vt:variant>
        <vt:i4>405</vt:i4>
      </vt:variant>
      <vt:variant>
        <vt:i4>0</vt:i4>
      </vt:variant>
      <vt:variant>
        <vt:i4>5</vt:i4>
      </vt:variant>
      <vt:variant>
        <vt:lpwstr>http://eur-lex.europa.eu/LexUriServ/LexUriServ.do?uri=OJ:L:2009:285:0010:0035:EN:PDF</vt:lpwstr>
      </vt:variant>
      <vt:variant>
        <vt:lpwstr/>
      </vt:variant>
      <vt:variant>
        <vt:i4>5963804</vt:i4>
      </vt:variant>
      <vt:variant>
        <vt:i4>402</vt:i4>
      </vt:variant>
      <vt:variant>
        <vt:i4>0</vt:i4>
      </vt:variant>
      <vt:variant>
        <vt:i4>5</vt:i4>
      </vt:variant>
      <vt:variant>
        <vt:lpwstr>http://eur-lex.europa.eu/LexUriServ/LexUriServ.do?uri=OJ:L:2009:140:0063:0087:EN:PDF</vt:lpwstr>
      </vt:variant>
      <vt:variant>
        <vt:lpwstr/>
      </vt:variant>
      <vt:variant>
        <vt:i4>5570580</vt:i4>
      </vt:variant>
      <vt:variant>
        <vt:i4>399</vt:i4>
      </vt:variant>
      <vt:variant>
        <vt:i4>0</vt:i4>
      </vt:variant>
      <vt:variant>
        <vt:i4>5</vt:i4>
      </vt:variant>
      <vt:variant>
        <vt:lpwstr>http://eur-lex.europa.eu/LexUriServ/LexUriServ.do?uri=OJ:L:2003:275:0032:0046:EN:PDF</vt:lpwstr>
      </vt:variant>
      <vt:variant>
        <vt:lpwstr/>
      </vt:variant>
      <vt:variant>
        <vt:i4>5963804</vt:i4>
      </vt:variant>
      <vt:variant>
        <vt:i4>396</vt:i4>
      </vt:variant>
      <vt:variant>
        <vt:i4>0</vt:i4>
      </vt:variant>
      <vt:variant>
        <vt:i4>5</vt:i4>
      </vt:variant>
      <vt:variant>
        <vt:lpwstr>http://eur-lex.europa.eu/LexUriServ/LexUriServ.do?uri=OJ:L:2009:140:0063:0087:EN:PDF</vt:lpwstr>
      </vt:variant>
      <vt:variant>
        <vt:lpwstr/>
      </vt:variant>
      <vt:variant>
        <vt:i4>5963804</vt:i4>
      </vt:variant>
      <vt:variant>
        <vt:i4>393</vt:i4>
      </vt:variant>
      <vt:variant>
        <vt:i4>0</vt:i4>
      </vt:variant>
      <vt:variant>
        <vt:i4>5</vt:i4>
      </vt:variant>
      <vt:variant>
        <vt:lpwstr>http://eur-lex.europa.eu/LexUriServ/LexUriServ.do?uri=OJ:L:2009:140:0063:0087:EN:PDF</vt:lpwstr>
      </vt:variant>
      <vt:variant>
        <vt:lpwstr/>
      </vt:variant>
      <vt:variant>
        <vt:i4>4390971</vt:i4>
      </vt:variant>
      <vt:variant>
        <vt:i4>390</vt:i4>
      </vt:variant>
      <vt:variant>
        <vt:i4>0</vt:i4>
      </vt:variant>
      <vt:variant>
        <vt:i4>5</vt:i4>
      </vt:variant>
      <vt:variant>
        <vt:lpwstr>http://europa.eu.int/smartapi/cgi/sga_doc?smartapi!celexapi!prod!CELEXnumdoc&amp;lg=EN&amp;numdoc=32004L0035&amp;model=guicheti</vt:lpwstr>
      </vt:variant>
      <vt:variant>
        <vt:lpwstr/>
      </vt:variant>
      <vt:variant>
        <vt:i4>5505051</vt:i4>
      </vt:variant>
      <vt:variant>
        <vt:i4>387</vt:i4>
      </vt:variant>
      <vt:variant>
        <vt:i4>0</vt:i4>
      </vt:variant>
      <vt:variant>
        <vt:i4>5</vt:i4>
      </vt:variant>
      <vt:variant>
        <vt:lpwstr>http://eur-lex.europa.eu/LexUriServ/LexUriServ.do?uri=OJ:L:2008:353:0001:1355:EN:PDF</vt:lpwstr>
      </vt:variant>
      <vt:variant>
        <vt:lpwstr/>
      </vt:variant>
      <vt:variant>
        <vt:i4>5767191</vt:i4>
      </vt:variant>
      <vt:variant>
        <vt:i4>384</vt:i4>
      </vt:variant>
      <vt:variant>
        <vt:i4>0</vt:i4>
      </vt:variant>
      <vt:variant>
        <vt:i4>5</vt:i4>
      </vt:variant>
      <vt:variant>
        <vt:lpwstr>http://eur-lex.europa.eu/LexUriServ/LexUriServ.do?uri=OJ:L:2006:396:0001:0849:EN:PDF</vt:lpwstr>
      </vt:variant>
      <vt:variant>
        <vt:lpwstr/>
      </vt:variant>
      <vt:variant>
        <vt:i4>2162722</vt:i4>
      </vt:variant>
      <vt:variant>
        <vt:i4>381</vt:i4>
      </vt:variant>
      <vt:variant>
        <vt:i4>0</vt:i4>
      </vt:variant>
      <vt:variant>
        <vt:i4>5</vt:i4>
      </vt:variant>
      <vt:variant>
        <vt:lpwstr>http://eur-lex.europa.eu/LexUriServ/LexUriServ.do?uri=OJ:L:2006:396:SOM:en:HTML</vt:lpwstr>
      </vt:variant>
      <vt:variant>
        <vt:lpwstr/>
      </vt:variant>
      <vt:variant>
        <vt:i4>5636120</vt:i4>
      </vt:variant>
      <vt:variant>
        <vt:i4>378</vt:i4>
      </vt:variant>
      <vt:variant>
        <vt:i4>0</vt:i4>
      </vt:variant>
      <vt:variant>
        <vt:i4>5</vt:i4>
      </vt:variant>
      <vt:variant>
        <vt:lpwstr>http://eur-lex.europa.eu/LexUriServ/LexUriServ.do?uri=OJ:L:2009:164:0007:0031:EN:PDF</vt:lpwstr>
      </vt:variant>
      <vt:variant>
        <vt:lpwstr/>
      </vt:variant>
      <vt:variant>
        <vt:i4>5636120</vt:i4>
      </vt:variant>
      <vt:variant>
        <vt:i4>375</vt:i4>
      </vt:variant>
      <vt:variant>
        <vt:i4>0</vt:i4>
      </vt:variant>
      <vt:variant>
        <vt:i4>5</vt:i4>
      </vt:variant>
      <vt:variant>
        <vt:lpwstr>http://eur-lex.europa.eu/LexUriServ/LexUriServ.do?uri=OJ:L:2009:164:0007:0031:EN:PDF</vt:lpwstr>
      </vt:variant>
      <vt:variant>
        <vt:lpwstr/>
      </vt:variant>
      <vt:variant>
        <vt:i4>5242909</vt:i4>
      </vt:variant>
      <vt:variant>
        <vt:i4>372</vt:i4>
      </vt:variant>
      <vt:variant>
        <vt:i4>0</vt:i4>
      </vt:variant>
      <vt:variant>
        <vt:i4>5</vt:i4>
      </vt:variant>
      <vt:variant>
        <vt:lpwstr>http://eur-lex.europa.eu/LexUriServ/LexUriServ.do?uri=OJ:L:2008:141:0022:0022:EN:PDF</vt:lpwstr>
      </vt:variant>
      <vt:variant>
        <vt:lpwstr/>
      </vt:variant>
      <vt:variant>
        <vt:i4>5570577</vt:i4>
      </vt:variant>
      <vt:variant>
        <vt:i4>369</vt:i4>
      </vt:variant>
      <vt:variant>
        <vt:i4>0</vt:i4>
      </vt:variant>
      <vt:variant>
        <vt:i4>5</vt:i4>
      </vt:variant>
      <vt:variant>
        <vt:lpwstr>\\orgalime-files\comp-orgalime$\Users\COMMON\Central Filing System (CFS)\European Sector Committees\Info bulletins\T&amp;D\2009\October 2009\Official Journal L 141 of 31 May 2008</vt:lpwstr>
      </vt:variant>
      <vt:variant>
        <vt:lpwstr/>
      </vt:variant>
      <vt:variant>
        <vt:i4>2162722</vt:i4>
      </vt:variant>
      <vt:variant>
        <vt:i4>366</vt:i4>
      </vt:variant>
      <vt:variant>
        <vt:i4>0</vt:i4>
      </vt:variant>
      <vt:variant>
        <vt:i4>5</vt:i4>
      </vt:variant>
      <vt:variant>
        <vt:lpwstr>http://eur-lex.europa.eu/LexUriServ/LexUriServ.do?uri=OJ:L:2006:396:SOM:en:HTML</vt:lpwstr>
      </vt:variant>
      <vt:variant>
        <vt:lpwstr/>
      </vt:variant>
      <vt:variant>
        <vt:i4>1572934</vt:i4>
      </vt:variant>
      <vt:variant>
        <vt:i4>363</vt:i4>
      </vt:variant>
      <vt:variant>
        <vt:i4>0</vt:i4>
      </vt:variant>
      <vt:variant>
        <vt:i4>5</vt:i4>
      </vt:variant>
      <vt:variant>
        <vt:lpwstr>http://eur-lex.europa.eu/JOHtml.do?uri=OJ:L:2008:141:SOM:EN:HTML</vt:lpwstr>
      </vt:variant>
      <vt:variant>
        <vt:lpwstr/>
      </vt:variant>
      <vt:variant>
        <vt:i4>983118</vt:i4>
      </vt:variant>
      <vt:variant>
        <vt:i4>360</vt:i4>
      </vt:variant>
      <vt:variant>
        <vt:i4>0</vt:i4>
      </vt:variant>
      <vt:variant>
        <vt:i4>5</vt:i4>
      </vt:variant>
      <vt:variant>
        <vt:lpwstr>http://publications.orgalime.org/</vt:lpwstr>
      </vt:variant>
      <vt:variant>
        <vt:lpwstr/>
      </vt:variant>
      <vt:variant>
        <vt:i4>983118</vt:i4>
      </vt:variant>
      <vt:variant>
        <vt:i4>357</vt:i4>
      </vt:variant>
      <vt:variant>
        <vt:i4>0</vt:i4>
      </vt:variant>
      <vt:variant>
        <vt:i4>5</vt:i4>
      </vt:variant>
      <vt:variant>
        <vt:lpwstr>http://publications.orgalime.org/</vt:lpwstr>
      </vt:variant>
      <vt:variant>
        <vt:lpwstr/>
      </vt:variant>
      <vt:variant>
        <vt:i4>3080286</vt:i4>
      </vt:variant>
      <vt:variant>
        <vt:i4>354</vt:i4>
      </vt:variant>
      <vt:variant>
        <vt:i4>0</vt:i4>
      </vt:variant>
      <vt:variant>
        <vt:i4>5</vt:i4>
      </vt:variant>
      <vt:variant>
        <vt:lpwstr>http://echa.europa.eu/doc/press/pr_09_15_msc_svhc_20091207.pdf</vt:lpwstr>
      </vt:variant>
      <vt:variant>
        <vt:lpwstr/>
      </vt:variant>
      <vt:variant>
        <vt:i4>6094928</vt:i4>
      </vt:variant>
      <vt:variant>
        <vt:i4>351</vt:i4>
      </vt:variant>
      <vt:variant>
        <vt:i4>0</vt:i4>
      </vt:variant>
      <vt:variant>
        <vt:i4>5</vt:i4>
      </vt:variant>
      <vt:variant>
        <vt:lpwstr>http://eur-lex.europa.eu/LexUriServ/site/en/oj/2004/l_184/l_18420040524en00010009.pdf</vt:lpwstr>
      </vt:variant>
      <vt:variant>
        <vt:lpwstr/>
      </vt:variant>
      <vt:variant>
        <vt:i4>5570585</vt:i4>
      </vt:variant>
      <vt:variant>
        <vt:i4>348</vt:i4>
      </vt:variant>
      <vt:variant>
        <vt:i4>0</vt:i4>
      </vt:variant>
      <vt:variant>
        <vt:i4>5</vt:i4>
      </vt:variant>
      <vt:variant>
        <vt:lpwstr>http://eur-lex.europa.eu/LexUriServ/LexUriServ.do?uri=OJ:L:2008:114:0088:0089:EN:PDF</vt:lpwstr>
      </vt:variant>
      <vt:variant>
        <vt:lpwstr/>
      </vt:variant>
      <vt:variant>
        <vt:i4>5963779</vt:i4>
      </vt:variant>
      <vt:variant>
        <vt:i4>345</vt:i4>
      </vt:variant>
      <vt:variant>
        <vt:i4>0</vt:i4>
      </vt:variant>
      <vt:variant>
        <vt:i4>5</vt:i4>
      </vt:variant>
      <vt:variant>
        <vt:lpwstr>http://eur-lex.europa.eu/LexUriServ/LexUriServ.do?uri=CELEX:32006R1013:EN:NOT</vt:lpwstr>
      </vt:variant>
      <vt:variant>
        <vt:lpwstr/>
      </vt:variant>
      <vt:variant>
        <vt:i4>5636127</vt:i4>
      </vt:variant>
      <vt:variant>
        <vt:i4>342</vt:i4>
      </vt:variant>
      <vt:variant>
        <vt:i4>0</vt:i4>
      </vt:variant>
      <vt:variant>
        <vt:i4>5</vt:i4>
      </vt:variant>
      <vt:variant>
        <vt:lpwstr>http://eur-lex.europa.eu/LexUriServ/LexUriServ.do?uri=OJ:L:1999:182:0001:0019:EN:PDF</vt:lpwstr>
      </vt:variant>
      <vt:variant>
        <vt:lpwstr/>
      </vt:variant>
      <vt:variant>
        <vt:i4>5570588</vt:i4>
      </vt:variant>
      <vt:variant>
        <vt:i4>339</vt:i4>
      </vt:variant>
      <vt:variant>
        <vt:i4>0</vt:i4>
      </vt:variant>
      <vt:variant>
        <vt:i4>5</vt:i4>
      </vt:variant>
      <vt:variant>
        <vt:lpwstr>http://eur-lex.europa.eu/LexUriServ/LexUriServ.do?uri=OJ:L:2008:312:0003:0030:EN:PDF</vt:lpwstr>
      </vt:variant>
      <vt:variant>
        <vt:lpwstr/>
      </vt:variant>
      <vt:variant>
        <vt:i4>5570588</vt:i4>
      </vt:variant>
      <vt:variant>
        <vt:i4>336</vt:i4>
      </vt:variant>
      <vt:variant>
        <vt:i4>0</vt:i4>
      </vt:variant>
      <vt:variant>
        <vt:i4>5</vt:i4>
      </vt:variant>
      <vt:variant>
        <vt:lpwstr>http://eur-lex.europa.eu/LexUriServ/LexUriServ.do?uri=OJ:L:2008:312:0003:0030:EN:PDF</vt:lpwstr>
      </vt:variant>
      <vt:variant>
        <vt:lpwstr/>
      </vt:variant>
      <vt:variant>
        <vt:i4>3407998</vt:i4>
      </vt:variant>
      <vt:variant>
        <vt:i4>333</vt:i4>
      </vt:variant>
      <vt:variant>
        <vt:i4>0</vt:i4>
      </vt:variant>
      <vt:variant>
        <vt:i4>5</vt:i4>
      </vt:variant>
      <vt:variant>
        <vt:lpwstr>http://europa.eu/scadplus/leg/en/cha/c11150.htm</vt:lpwstr>
      </vt:variant>
      <vt:variant>
        <vt:lpwstr/>
      </vt:variant>
      <vt:variant>
        <vt:i4>3473531</vt:i4>
      </vt:variant>
      <vt:variant>
        <vt:i4>330</vt:i4>
      </vt:variant>
      <vt:variant>
        <vt:i4>0</vt:i4>
      </vt:variant>
      <vt:variant>
        <vt:i4>5</vt:i4>
      </vt:variant>
      <vt:variant>
        <vt:lpwstr>http://europa.eu/scadplus/leg/en/cha/c11145.htm</vt:lpwstr>
      </vt:variant>
      <vt:variant>
        <vt:lpwstr/>
      </vt:variant>
      <vt:variant>
        <vt:i4>3473526</vt:i4>
      </vt:variant>
      <vt:variant>
        <vt:i4>327</vt:i4>
      </vt:variant>
      <vt:variant>
        <vt:i4>0</vt:i4>
      </vt:variant>
      <vt:variant>
        <vt:i4>5</vt:i4>
      </vt:variant>
      <vt:variant>
        <vt:lpwstr>http://europa.eu/scadplus/leg/en/cha/c11148.htm</vt:lpwstr>
      </vt:variant>
      <vt:variant>
        <vt:lpwstr/>
      </vt:variant>
      <vt:variant>
        <vt:i4>3145853</vt:i4>
      </vt:variant>
      <vt:variant>
        <vt:i4>324</vt:i4>
      </vt:variant>
      <vt:variant>
        <vt:i4>0</vt:i4>
      </vt:variant>
      <vt:variant>
        <vt:i4>5</vt:i4>
      </vt:variant>
      <vt:variant>
        <vt:lpwstr>http://europa.eu/scadplus/leg/en/cha/c11113.htm</vt:lpwstr>
      </vt:variant>
      <vt:variant>
        <vt:lpwstr/>
      </vt:variant>
      <vt:variant>
        <vt:i4>1245277</vt:i4>
      </vt:variant>
      <vt:variant>
        <vt:i4>321</vt:i4>
      </vt:variant>
      <vt:variant>
        <vt:i4>0</vt:i4>
      </vt:variant>
      <vt:variant>
        <vt:i4>5</vt:i4>
      </vt:variant>
      <vt:variant>
        <vt:lpwstr>http://eur-lex.europa.eu/smartapi/cgi/sga_doc?smartapi!celexplus!prod!DocNumber&amp;lg=en&amp;type_doc=Directive&amp;an_doc=1989&amp;nu_doc=391</vt:lpwstr>
      </vt:variant>
      <vt:variant>
        <vt:lpwstr/>
      </vt:variant>
      <vt:variant>
        <vt:i4>1048650</vt:i4>
      </vt:variant>
      <vt:variant>
        <vt:i4>318</vt:i4>
      </vt:variant>
      <vt:variant>
        <vt:i4>0</vt:i4>
      </vt:variant>
      <vt:variant>
        <vt:i4>5</vt:i4>
      </vt:variant>
      <vt:variant>
        <vt:lpwstr>http://ec.europa.eu/energy/action_plan_energy_efficiency/index_en.htm</vt:lpwstr>
      </vt:variant>
      <vt:variant>
        <vt:lpwstr/>
      </vt:variant>
      <vt:variant>
        <vt:i4>7340082</vt:i4>
      </vt:variant>
      <vt:variant>
        <vt:i4>315</vt:i4>
      </vt:variant>
      <vt:variant>
        <vt:i4>0</vt:i4>
      </vt:variant>
      <vt:variant>
        <vt:i4>5</vt:i4>
      </vt:variant>
      <vt:variant>
        <vt:lpwstr>http://eur-lex.europa.eu/LexUriServ/LexUriServ.do?uri=OJ:L:2006:161:0001:01:EN:HTML</vt:lpwstr>
      </vt:variant>
      <vt:variant>
        <vt:lpwstr/>
      </vt:variant>
      <vt:variant>
        <vt:i4>1179715</vt:i4>
      </vt:variant>
      <vt:variant>
        <vt:i4>312</vt:i4>
      </vt:variant>
      <vt:variant>
        <vt:i4>0</vt:i4>
      </vt:variant>
      <vt:variant>
        <vt:i4>5</vt:i4>
      </vt:variant>
      <vt:variant>
        <vt:lpwstr>http://eur-lex.europa.eu/JOHtml.do?uri=OJ:L:2008:218:SOM:EN:HTML</vt:lpwstr>
      </vt:variant>
      <vt:variant>
        <vt:lpwstr/>
      </vt:variant>
      <vt:variant>
        <vt:i4>5636124</vt:i4>
      </vt:variant>
      <vt:variant>
        <vt:i4>309</vt:i4>
      </vt:variant>
      <vt:variant>
        <vt:i4>0</vt:i4>
      </vt:variant>
      <vt:variant>
        <vt:i4>5</vt:i4>
      </vt:variant>
      <vt:variant>
        <vt:lpwstr>http://eur-lex.europa.eu/LexUriServ/LexUriServ.do?uri=OJ:L:2008:218:0021:0029:EN:PDF</vt:lpwstr>
      </vt:variant>
      <vt:variant>
        <vt:lpwstr/>
      </vt:variant>
      <vt:variant>
        <vt:i4>5570582</vt:i4>
      </vt:variant>
      <vt:variant>
        <vt:i4>306</vt:i4>
      </vt:variant>
      <vt:variant>
        <vt:i4>0</vt:i4>
      </vt:variant>
      <vt:variant>
        <vt:i4>5</vt:i4>
      </vt:variant>
      <vt:variant>
        <vt:lpwstr>http://eur-lex.europa.eu/LexUriServ/LexUriServ.do?uri=OJ:L:2008:218:0082:0128:EN:PDF</vt:lpwstr>
      </vt:variant>
      <vt:variant>
        <vt:lpwstr/>
      </vt:variant>
      <vt:variant>
        <vt:i4>5308435</vt:i4>
      </vt:variant>
      <vt:variant>
        <vt:i4>303</vt:i4>
      </vt:variant>
      <vt:variant>
        <vt:i4>0</vt:i4>
      </vt:variant>
      <vt:variant>
        <vt:i4>5</vt:i4>
      </vt:variant>
      <vt:variant>
        <vt:lpwstr>http://eur-lex.europa.eu/LexUriServ/LexUriServ.do?uri=OJ:L:2008:218:0030:0047:EN:PDF</vt:lpwstr>
      </vt:variant>
      <vt:variant>
        <vt:lpwstr/>
      </vt:variant>
      <vt:variant>
        <vt:i4>5308435</vt:i4>
      </vt:variant>
      <vt:variant>
        <vt:i4>300</vt:i4>
      </vt:variant>
      <vt:variant>
        <vt:i4>0</vt:i4>
      </vt:variant>
      <vt:variant>
        <vt:i4>5</vt:i4>
      </vt:variant>
      <vt:variant>
        <vt:lpwstr>http://eur-lex.europa.eu/LexUriServ/LexUriServ.do?uri=OJ:L:2008:218:0030:0047:EN:PDF</vt:lpwstr>
      </vt:variant>
      <vt:variant>
        <vt:lpwstr/>
      </vt:variant>
      <vt:variant>
        <vt:i4>3997740</vt:i4>
      </vt:variant>
      <vt:variant>
        <vt:i4>297</vt:i4>
      </vt:variant>
      <vt:variant>
        <vt:i4>0</vt:i4>
      </vt:variant>
      <vt:variant>
        <vt:i4>5</vt:i4>
      </vt:variant>
      <vt:variant>
        <vt:lpwstr>http://register.consilium.europa.eu/pdf/en/10/st10/st10163.en10.pdf</vt:lpwstr>
      </vt:variant>
      <vt:variant>
        <vt:lpwstr/>
      </vt:variant>
      <vt:variant>
        <vt:i4>983108</vt:i4>
      </vt:variant>
      <vt:variant>
        <vt:i4>294</vt:i4>
      </vt:variant>
      <vt:variant>
        <vt:i4>0</vt:i4>
      </vt:variant>
      <vt:variant>
        <vt:i4>5</vt:i4>
      </vt:variant>
      <vt:variant>
        <vt:lpwstr>http://europa.eu.int/eur-lex/pri/en/oj/dat/2003/l_037/l_03720030213en00240038.pdf</vt:lpwstr>
      </vt:variant>
      <vt:variant>
        <vt:lpwstr/>
      </vt:variant>
      <vt:variant>
        <vt:i4>1114143</vt:i4>
      </vt:variant>
      <vt:variant>
        <vt:i4>291</vt:i4>
      </vt:variant>
      <vt:variant>
        <vt:i4>0</vt:i4>
      </vt:variant>
      <vt:variant>
        <vt:i4>5</vt:i4>
      </vt:variant>
      <vt:variant>
        <vt:lpwstr>http://ec.europa.eu/environment/waste/weee/pdf/com_2008_810.pdf</vt:lpwstr>
      </vt:variant>
      <vt:variant>
        <vt:lpwstr/>
      </vt:variant>
      <vt:variant>
        <vt:i4>983108</vt:i4>
      </vt:variant>
      <vt:variant>
        <vt:i4>288</vt:i4>
      </vt:variant>
      <vt:variant>
        <vt:i4>0</vt:i4>
      </vt:variant>
      <vt:variant>
        <vt:i4>5</vt:i4>
      </vt:variant>
      <vt:variant>
        <vt:lpwstr>http://europa.eu.int/eur-lex/pri/en/oj/dat/2003/l_037/l_03720030213en00240038.pdf</vt:lpwstr>
      </vt:variant>
      <vt:variant>
        <vt:lpwstr/>
      </vt:variant>
      <vt:variant>
        <vt:i4>852034</vt:i4>
      </vt:variant>
      <vt:variant>
        <vt:i4>285</vt:i4>
      </vt:variant>
      <vt:variant>
        <vt:i4>0</vt:i4>
      </vt:variant>
      <vt:variant>
        <vt:i4>5</vt:i4>
      </vt:variant>
      <vt:variant>
        <vt:lpwstr>http://europa.eu.int/eur-lex/pri/en/oj/dat/2003/l_037/l_03720030213en00190023.pdf</vt:lpwstr>
      </vt:variant>
      <vt:variant>
        <vt:lpwstr/>
      </vt:variant>
      <vt:variant>
        <vt:i4>1048598</vt:i4>
      </vt:variant>
      <vt:variant>
        <vt:i4>282</vt:i4>
      </vt:variant>
      <vt:variant>
        <vt:i4>0</vt:i4>
      </vt:variant>
      <vt:variant>
        <vt:i4>5</vt:i4>
      </vt:variant>
      <vt:variant>
        <vt:lpwstr>http://ec.europa.eu/environment/waste/weee/pdf/com_2008_809.pdf</vt:lpwstr>
      </vt:variant>
      <vt:variant>
        <vt:lpwstr/>
      </vt:variant>
      <vt:variant>
        <vt:i4>7536741</vt:i4>
      </vt:variant>
      <vt:variant>
        <vt:i4>279</vt:i4>
      </vt:variant>
      <vt:variant>
        <vt:i4>0</vt:i4>
      </vt:variant>
      <vt:variant>
        <vt:i4>5</vt:i4>
      </vt:variant>
      <vt:variant>
        <vt:lpwstr>http://www.ffii.nova.es/puntoinfomcyt/Formulario-dire01.asp</vt:lpwstr>
      </vt:variant>
      <vt:variant>
        <vt:lpwstr/>
      </vt:variant>
      <vt:variant>
        <vt:i4>2818083</vt:i4>
      </vt:variant>
      <vt:variant>
        <vt:i4>276</vt:i4>
      </vt:variant>
      <vt:variant>
        <vt:i4>0</vt:i4>
      </vt:variant>
      <vt:variant>
        <vt:i4>5</vt:i4>
      </vt:variant>
      <vt:variant>
        <vt:lpwstr>http://www.newapproach.org/Directives/DirectiveList.asp</vt:lpwstr>
      </vt:variant>
      <vt:variant>
        <vt:lpwstr/>
      </vt:variant>
      <vt:variant>
        <vt:i4>2818102</vt:i4>
      </vt:variant>
      <vt:variant>
        <vt:i4>273</vt:i4>
      </vt:variant>
      <vt:variant>
        <vt:i4>0</vt:i4>
      </vt:variant>
      <vt:variant>
        <vt:i4>5</vt:i4>
      </vt:variant>
      <vt:variant>
        <vt:lpwstr>http://europa.eu.int/comm/enterprise/newapproach/standardization/harmstds/reflist.html</vt:lpwstr>
      </vt:variant>
      <vt:variant>
        <vt:lpwstr/>
      </vt:variant>
      <vt:variant>
        <vt:i4>262178</vt:i4>
      </vt:variant>
      <vt:variant>
        <vt:i4>270</vt:i4>
      </vt:variant>
      <vt:variant>
        <vt:i4>0</vt:i4>
      </vt:variant>
      <vt:variant>
        <vt:i4>5</vt:i4>
      </vt:variant>
      <vt:variant>
        <vt:lpwstr>mailto:mzs@ormazabal.com</vt:lpwstr>
      </vt:variant>
      <vt:variant>
        <vt:lpwstr/>
      </vt:variant>
      <vt:variant>
        <vt:i4>720950</vt:i4>
      </vt:variant>
      <vt:variant>
        <vt:i4>267</vt:i4>
      </vt:variant>
      <vt:variant>
        <vt:i4>0</vt:i4>
      </vt:variant>
      <vt:variant>
        <vt:i4>5</vt:i4>
      </vt:variant>
      <vt:variant>
        <vt:lpwstr>mailto:cnr@ormazabal.com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dc:title>
  <dc:creator>GOSA</dc:creator>
  <cp:lastModifiedBy>consuelo</cp:lastModifiedBy>
  <cp:revision>2</cp:revision>
  <cp:lastPrinted>2014-11-24T15:51:00Z</cp:lastPrinted>
  <dcterms:created xsi:type="dcterms:W3CDTF">2015-10-07T08:35:00Z</dcterms:created>
  <dcterms:modified xsi:type="dcterms:W3CDTF">2015-10-07T08:35:00Z</dcterms:modified>
</cp:coreProperties>
</file>